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drawing>
          <wp:inline distT="0" distB="0" distL="0" distR="0">
            <wp:extent cx="1524000" cy="1019175"/>
            <wp:effectExtent t="0" r="0" b="0" l="0"/>
            <wp:docPr id="1" name="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 descr=""/>
                    <pic:cNvPicPr>
                      <a:picLocks noChangeAspect="1" noChangeArrowheads="1"/>
                    </pic:cNvPicPr>
                  </pic:nvPicPr>
                  <pic:blipFill>
                    <a:blip r:embed="rId9" cstate="none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ascii="Arial" w:cs="Arial" w:eastAsia="Arial" w:hAnsi="Arial"/>
          <w:b/>
          <w:bCs/>
          <w:color w:val="1C2237"/>
          <w:sz w:val="28"/>
          <w:szCs w:val="28"/>
        </w:rPr>
        <w:t xml:space="preserve">CARREFOUR SA — EUR 300-500m Ground Debt (Bail Emphyteotique) | French Grocery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8B0000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STRICTLY CONFIDENTIAL — GCCP INTERNAL USE ONLY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6"/>
        <w:gridCol w:w="2257"/>
        <w:gridCol w:w="2257"/>
        <w:gridCol w:w="2256"/>
      </w:tblGrid>
      <w:tr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Pipeline ID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FR-GR-01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SONG Score</w:t>
            </w:r>
          </w:p>
        </w:tc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7.76</w:t>
            </w:r>
          </w:p>
        </w:tc>
      </w:tr>
      <w:tr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Tier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GO NOW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GCCP Lead</w:t>
            </w:r>
          </w:p>
        </w:tc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AS</w:t>
            </w:r>
          </w:p>
        </w:tc>
      </w:tr>
      <w:tr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Version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v1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Date</w:t>
            </w:r>
          </w:p>
        </w:tc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02Apr2026</w:t>
            </w:r>
          </w:p>
        </w:tc>
      </w:tr>
      <w:tr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Prepared By</w:t>
            </w:r>
          </w:p>
        </w:tc>
        <w:tc>
          <w:tcPr>
            <w:tcW w:type="dxa" w:w="677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Aaron Sherlock, Grand Canal Capital Partners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IMMEDIATE ACTION REQUIRED: Commission bail emphyteotique legal opinion and identify Head of Treasury — Carrefour Property IPO creates institutional alignment window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1. Company Overview &amp; Key Metrics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Carrefour SA is the world's eighth-largest retailer and France's largest grocer, operating 280 hypermarkets and 540 supermarkets across France. The company holds a BBB/Stable credit rating from S&amp;P with FY2025 EBITDA of EUR 4,506m and net debt of just EUR 3,965m (0.88x net leverage). Carrefour Property manages a EUR 24bn real estate portfolio across 4m sqm and 1,000 sites in France, Spain, and Italy.</w:t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Carrefour is actively monetising its freehold estate through sale-and-leaseback transactions with Supermarket Income REIT (SUPR) — EUR 147m+ in FY2025 alone. The remaining France freehold estate is estimated at EUR 7.85-9.85bn after 2025 disposals. At current disposal pace (EUR 300-600m/yr), SONG must move within 12-24 months before the estate depletes below GO NOW threshold.</w:t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The SONG Ground Debt product via bail emphyteotique offers Carrefour a fundamentally different proposition to SUPR: operator retains freehold, 30yr+ tenor, fixed uplifts, and proceeds match or exceed S&amp;L. The direct structural template is Morrisons GBP 370m — 76 UK supermarkets, freehold, SONG ground position, 45yr. Carrefour is the French equivalent at larger scale.</w:t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6"/>
        <w:gridCol w:w="2257"/>
        <w:gridCol w:w="2257"/>
        <w:gridCol w:w="2256"/>
      </w:tblGrid>
      <w:tr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Metric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Value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Metric</w:t>
            </w:r>
          </w:p>
        </w:tc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Value</w:t>
            </w:r>
          </w:p>
        </w:tc>
      </w:tr>
      <w:tr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Listing / Structure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Euronext Paris (BBB/Stable)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Sector</w:t>
            </w:r>
          </w:p>
        </w:tc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French Grocery</w:t>
            </w:r>
          </w:p>
        </w:tc>
      </w:tr>
      <w:tr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Freehold Estate (FR)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EUR 7.85-9.85bn [EST]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EBITDA (FY2025)</w:t>
            </w:r>
          </w:p>
        </w:tc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EUR 4,506m</w:t>
            </w:r>
          </w:p>
        </w:tc>
      </w:tr>
      <w:tr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Net Debt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EUR 3,965m (0.88x leverage)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Store Count (FR)</w:t>
            </w:r>
          </w:p>
        </w:tc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280 hyper + 540 super</w:t>
            </w:r>
          </w:p>
        </w:tc>
      </w:tr>
      <w:tr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Carrefour Property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EUR 24bn / 4m sqm / 1,000 sites</w:t>
            </w:r>
          </w:p>
        </w:tc>
        <w:tc>
          <w:tcPr>
            <w:tcW w:type="dxa" w:w="2257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S&amp;L Activity FY25</w:t>
            </w:r>
          </w:p>
        </w:tc>
        <w:tc>
          <w:tcPr>
            <w:tcW w:type="dxa" w:w="225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EUR 147m+ (SUPR)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00"/>
        <w:gridCol w:w="2500"/>
        <w:gridCol w:w="5026"/>
      </w:tblGrid>
      <w:tr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Date</w:t>
            </w:r>
          </w:p>
        </w:tc>
        <w:tc>
          <w:tcPr>
            <w:tcW w:type="dxa" w:w="2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Event</w:t>
            </w:r>
          </w:p>
        </w:tc>
        <w:tc>
          <w:tcPr>
            <w:tcW w:type="dxa" w:w="5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Detail &amp; SONG Impact</w:t>
            </w:r>
          </w:p>
        </w:tc>
      </w:tr>
      <w:tr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2026</w:t>
            </w:r>
          </w:p>
        </w:tc>
        <w:tc>
          <w:tcPr>
            <w:tcW w:type="dxa" w:w="2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Carrefour Property partial IPO</w:t>
            </w:r>
          </w:p>
        </w:tc>
        <w:tc>
          <w:tcPr>
            <w:tcW w:type="dxa" w:w="5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Offering 20% of EUR 24bn portfolio to institutional RE partners incl. pension funds. BPA insurers are same cohort — SONG debt complements equity.</w:t>
            </w:r>
          </w:p>
        </w:tc>
      </w:tr>
      <w:tr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Nov 25</w:t>
            </w:r>
          </w:p>
        </w:tc>
        <w:tc>
          <w:tcPr>
            <w:tcW w:type="dxa" w:w="2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SUPR S&amp;L: 19 stores, EUR 113m</w:t>
            </w:r>
          </w:p>
        </w:tc>
        <w:tc>
          <w:tcPr>
            <w:tcW w:type="dxa" w:w="5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16 supermarkets + 3 hypermarkets sold. CPI-linked rent reviews (12yr). Confirms active asset monetisation programme.</w:t>
            </w:r>
          </w:p>
        </w:tc>
      </w:tr>
      <w:tr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Jan 25</w:t>
            </w:r>
          </w:p>
        </w:tc>
        <w:tc>
          <w:tcPr>
            <w:tcW w:type="dxa" w:w="2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SUPR S&amp;L: 8 stores, EUR 34m</w:t>
            </w:r>
          </w:p>
        </w:tc>
        <w:tc>
          <w:tcPr>
            <w:tcW w:type="dxa" w:w="5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First 2025 tranche. Same CPI-linked terms. SONG fixed uplift must demonstrate value vs uncapped CPI.</w:t>
            </w:r>
          </w:p>
        </w:tc>
      </w:tr>
      <w:tr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2025</w:t>
            </w:r>
          </w:p>
        </w:tc>
        <w:tc>
          <w:tcPr>
            <w:tcW w:type="dxa" w:w="2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EGAlim revenue protection law</w:t>
            </w:r>
          </w:p>
        </w:tc>
        <w:tc>
          <w:tcPr>
            <w:tcW w:type="dxa" w:w="5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French law protecting grocer revenue from supplier margin erosion. Strengthens BPA income quality assessment.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2. SONG Scoring Analysis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1200"/>
        <w:gridCol w:w="1200"/>
        <w:gridCol w:w="3626"/>
      </w:tblGrid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Factor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Weight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Score (0-10)</w:t>
            </w:r>
          </w:p>
        </w:tc>
        <w:tc>
          <w:tcPr>
            <w:tcW w:type="dxa" w:w="36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Rationale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Rate Type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15%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8.0</w:t>
            </w:r>
          </w:p>
        </w:tc>
        <w:tc>
          <w:tcPr>
            <w:tcW w:type="dxa" w:w="36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EUR fixed uplifts via bail emphyteotique. Ground Debt product inherently fixed. Must demonstrate value vs SUPR CPI-linked terms.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Facility Size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15%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9.0</w:t>
            </w:r>
          </w:p>
        </w:tc>
        <w:tc>
          <w:tcPr>
            <w:tcW w:type="dxa" w:w="36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EUR 300-500m — well above EUR 200m minimum. 30-80 hypermarket sites available for selection.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Asset Quality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15%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8.0</w:t>
            </w:r>
          </w:p>
        </w:tc>
        <w:tc>
          <w:tcPr>
            <w:tcW w:type="dxa" w:w="36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Dominant French hypermarket/supermarket locations. CDAC/DREAL planning restrictions protect catchment.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DSCR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10%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9.0</w:t>
            </w:r>
          </w:p>
        </w:tc>
        <w:tc>
          <w:tcPr>
            <w:tcW w:type="dxa" w:w="36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0.88x net leverage. EBITDA EUR 4,506m. DSCR &gt;4.0x at SONG interest level. Among strongest in European grocery.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Timing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10%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5.0</w:t>
            </w:r>
          </w:p>
        </w:tc>
        <w:tc>
          <w:tcPr>
            <w:tcW w:type="dxa" w:w="36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No forced maturity. S&amp;L programme ongoing. Must act within 12-24 months before freehold estate depletes.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BPA Fit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15%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8.0</w:t>
            </w:r>
          </w:p>
        </w:tc>
        <w:tc>
          <w:tcPr>
            <w:tcW w:type="dxa" w:w="36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French grocery is defensive, non-discretionary. BBB/Stable. Essential retail. Strong BPA board fit.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Contact Quality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5%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6.0</w:t>
            </w:r>
          </w:p>
        </w:tc>
        <w:tc>
          <w:tcPr>
            <w:tcW w:type="dxa" w:w="36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Matthieu Malige (CFO) confirmed. Head of Treasury NOT FOUND. LinkedIn search required.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LTV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5%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7.0</w:t>
            </w:r>
          </w:p>
        </w:tc>
        <w:tc>
          <w:tcPr>
            <w:tcW w:type="dxa" w:w="36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30-40% of land value (Ground Debt standard). Well within SONG parameters.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Competitive Positioning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5%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6.0</w:t>
            </w:r>
          </w:p>
        </w:tc>
        <w:tc>
          <w:tcPr>
            <w:tcW w:type="dxa" w:w="36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SUPR has established relationship. But SONG product is fundamentally different — operator retains freehold.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GCCP Relationship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5%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5.0</w:t>
            </w:r>
          </w:p>
        </w:tc>
        <w:tc>
          <w:tcPr>
            <w:tcW w:type="dxa" w:w="36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No warm path confirmed. Check Aaron/JH LinkedIn connections. Lazard network via Malige background.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WEIGHTED TOTAL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100%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7.76</w:t>
            </w:r>
          </w:p>
        </w:tc>
        <w:tc>
          <w:tcPr>
            <w:tcW w:type="dxa" w:w="36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GO NOW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3. Debt Structure — Full Facility Stack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Carrefour carries EUR 3,965m net debt (0.88x leverage) — one of the lowest leverage profiles in European grocery. The SONG Ground Debt facility targets 30-80 freehold hypermarket sites via bail emphyteotique (French civil code). Ground Debt sits BELOW existing EMTN bond debt on ground title — no intercreditor conflict. ZERO financial covenants on Ground Debt product.</w:t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1400"/>
        <w:gridCol w:w="1200"/>
        <w:gridCol w:w="1000"/>
        <w:gridCol w:w="2000"/>
        <w:gridCol w:w="1426"/>
      </w:tblGrid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Facility</w:t>
            </w:r>
          </w:p>
        </w:tc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Maturity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Rate Type</w:t>
            </w:r>
          </w:p>
        </w:tc>
        <w:tc>
          <w:tcPr>
            <w:tcW w:type="dxa" w:w="1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Rate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Lenders</w:t>
            </w:r>
          </w:p>
        </w:tc>
        <w:tc>
          <w:tcPr>
            <w:tcW w:type="dxa" w:w="14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SONG Priority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Existing EMTN bonds</w:t>
            </w:r>
          </w:p>
        </w:tc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Various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Fixed (bonds)</w:t>
            </w:r>
          </w:p>
        </w:tc>
        <w:tc>
          <w:tcPr>
            <w:tcW w:type="dxa" w:w="1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Various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Public bond market</w:t>
            </w:r>
          </w:p>
        </w:tc>
        <w:tc>
          <w:tcPr>
            <w:tcW w:type="dxa" w:w="14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MONITOR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SUPR S&amp;L (ongoing programme)</w:t>
            </w:r>
          </w:p>
        </w:tc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12yr leases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CPI-linked</w:t>
            </w:r>
          </w:p>
        </w:tc>
        <w:tc>
          <w:tcPr>
            <w:tcW w:type="dxa" w:w="1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CPI reviews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Supermarket Income REIT</w:t>
            </w:r>
          </w:p>
        </w:tc>
        <w:tc>
          <w:tcPr>
            <w:tcW w:type="dxa" w:w="14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COMPETITOR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SONG Ground Debt (proposed)</w:t>
            </w:r>
          </w:p>
        </w:tc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30-55yr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Fixed uplifts</w:t>
            </w:r>
          </w:p>
        </w:tc>
        <w:tc>
          <w:tcPr>
            <w:tcW w:type="dxa" w:w="1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1.5-2.5%/yr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SONG Capital / BPA syndicate</w:t>
            </w:r>
          </w:p>
        </w:tc>
        <w:tc>
          <w:tcPr>
            <w:tcW w:type="dxa" w:w="14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TARGET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5526"/>
      </w:tblGrid>
      <w:tr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Target Facility Detail</w:t>
            </w:r>
          </w:p>
        </w:tc>
        <w:tc>
          <w:tcPr>
            <w:tcW w:type="dxa" w:w="5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Value</w:t>
            </w:r>
          </w:p>
        </w:tc>
      </w:tr>
      <w:tr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Facility Size</w:t>
            </w:r>
          </w:p>
        </w:tc>
        <w:tc>
          <w:tcPr>
            <w:tcW w:type="dxa" w:w="5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EUR 300-500m</w:t>
            </w:r>
          </w:p>
        </w:tc>
      </w:tr>
      <w:tr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Net Refinancing Need</w:t>
            </w:r>
          </w:p>
        </w:tc>
        <w:tc>
          <w:tcPr>
            <w:tcW w:type="dxa" w:w="5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Not a refinancing — new capital from land monetisation (parallel to SUPR S&amp;L)</w:t>
            </w:r>
          </w:p>
        </w:tc>
      </w:tr>
      <w:tr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Maturity</w:t>
            </w:r>
          </w:p>
        </w:tc>
        <w:tc>
          <w:tcPr>
            <w:tcW w:type="dxa" w:w="5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No existing maturity — SONG Ground Debt: 30-55yr new facility</w:t>
            </w:r>
          </w:p>
        </w:tc>
      </w:tr>
      <w:tr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Current Rate</w:t>
            </w:r>
          </w:p>
        </w:tc>
        <w:tc>
          <w:tcPr>
            <w:tcW w:type="dxa" w:w="5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N/A — Ground Debt is new capital, not refi</w:t>
            </w:r>
          </w:p>
        </w:tc>
      </w:tr>
      <w:tr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Management Assumption</w:t>
            </w:r>
          </w:p>
        </w:tc>
        <w:tc>
          <w:tcPr>
            <w:tcW w:type="dxa" w:w="5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Asset monetisation programme — S&amp;L vs Ground Debt competitive evaluation</w:t>
            </w:r>
          </w:p>
        </w:tc>
      </w:tr>
      <w:tr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SONG Target Rate</w:t>
            </w:r>
          </w:p>
        </w:tc>
        <w:tc>
          <w:tcPr>
            <w:tcW w:type="dxa" w:w="5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Fixed uplifts 1.5-2.5%/yr (annual ground rent, no coupon)</w:t>
            </w:r>
          </w:p>
        </w:tc>
      </w:tr>
      <w:tr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NAV Accretion</w:t>
            </w:r>
          </w:p>
        </w:tc>
        <w:tc>
          <w:tcPr>
            <w:tcW w:type="dxa" w:w="5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Carrefour RETAINS freehold; proceeds match S&amp;L; better long-term economics</w:t>
            </w:r>
          </w:p>
        </w:tc>
      </w:tr>
      <w:tr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Tenor Comparison</w:t>
            </w:r>
          </w:p>
        </w:tc>
        <w:tc>
          <w:tcPr>
            <w:tcW w:type="dxa" w:w="5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SUPR: 12yr S&amp;L | SONG: 30-55yr Ground Debt (operator keeps freehold)</w:t>
            </w:r>
          </w:p>
        </w:tc>
      </w:tr>
      <w:tr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USP</w:t>
            </w:r>
          </w:p>
        </w:tc>
        <w:tc>
          <w:tcPr>
            <w:tcW w:type="dxa" w:w="5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Don't sell your land to a REIT — get the same capital from SONG AND keep the freehold</w:t>
            </w:r>
          </w:p>
        </w:tc>
      </w:tr>
      <w:tr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Refi Status</w:t>
            </w:r>
          </w:p>
        </w:tc>
        <w:tc>
          <w:tcPr>
            <w:tcW w:type="dxa" w:w="5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N/A — new facility. Active S&amp;L programme confirms appetite for capital.</w:t>
            </w:r>
          </w:p>
        </w:tc>
      </w:tr>
      <w:tr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Competitive Conflicts</w:t>
            </w:r>
          </w:p>
        </w:tc>
        <w:tc>
          <w:tcPr>
            <w:tcW w:type="dxa" w:w="5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SUPR CPI-linked S&amp;L is primary alternative. SONG must prove fixed uplift value.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4. DSCR Analysis &amp; Asset Pool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1200"/>
        <w:gridCol w:w="1200"/>
        <w:gridCol w:w="1200"/>
        <w:gridCol w:w="1276"/>
        <w:gridCol w:w="1276"/>
        <w:gridCol w:w="1274"/>
      </w:tblGrid>
      <w:tr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Scenario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Income (EURm)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OpEx (EURm)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EBITDA</w:t>
            </w:r>
          </w:p>
        </w:tc>
        <w:tc>
          <w:tcPr>
            <w:tcW w:type="dxa" w:w="127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DSCR @ 200m</w:t>
            </w:r>
          </w:p>
        </w:tc>
        <w:tc>
          <w:tcPr>
            <w:tcW w:type="dxa" w:w="127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DSCR @ 250m</w:t>
            </w:r>
          </w:p>
        </w:tc>
        <w:tc>
          <w:tcPr>
            <w:tcW w:type="dxa" w:w="1274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DSCR @ 300m</w:t>
            </w:r>
          </w:p>
        </w:tc>
      </w:tr>
      <w:tr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Base Case (group)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4506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N/A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4506</w:t>
            </w:r>
          </w:p>
        </w:tc>
        <w:tc>
          <w:tcPr>
            <w:tcW w:type="dxa" w:w="127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N/A</w:t>
            </w:r>
          </w:p>
        </w:tc>
        <w:tc>
          <w:tcPr>
            <w:tcW w:type="dxa" w:w="127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N/A</w:t>
            </w:r>
          </w:p>
        </w:tc>
        <w:tc>
          <w:tcPr>
            <w:tcW w:type="dxa" w:w="1274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N/A</w:t>
            </w:r>
          </w:p>
        </w:tc>
      </w:tr>
      <w:tr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Base (50-store pool)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125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12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113</w:t>
            </w:r>
          </w:p>
        </w:tc>
        <w:tc>
          <w:tcPr>
            <w:tcW w:type="dxa" w:w="127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4.1x</w:t>
            </w:r>
          </w:p>
        </w:tc>
        <w:tc>
          <w:tcPr>
            <w:tcW w:type="dxa" w:w="127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3.3x</w:t>
            </w:r>
          </w:p>
        </w:tc>
        <w:tc>
          <w:tcPr>
            <w:tcW w:type="dxa" w:w="1274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2.7x</w:t>
            </w:r>
          </w:p>
        </w:tc>
      </w:tr>
      <w:tr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Downside (-10% rent)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112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12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100</w:t>
            </w:r>
          </w:p>
        </w:tc>
        <w:tc>
          <w:tcPr>
            <w:tcW w:type="dxa" w:w="127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3.6x</w:t>
            </w:r>
          </w:p>
        </w:tc>
        <w:tc>
          <w:tcPr>
            <w:tcW w:type="dxa" w:w="127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2.9x</w:t>
            </w:r>
          </w:p>
        </w:tc>
        <w:tc>
          <w:tcPr>
            <w:tcW w:type="dxa" w:w="1274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2.4x</w:t>
            </w:r>
          </w:p>
        </w:tc>
      </w:tr>
      <w:tr>
        <w:tc>
          <w:tcPr>
            <w:tcW w:type="dxa" w:w="1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Severe Stress (-20%)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100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12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88</w:t>
            </w:r>
          </w:p>
        </w:tc>
        <w:tc>
          <w:tcPr>
            <w:tcW w:type="dxa" w:w="127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3.2x</w:t>
            </w:r>
          </w:p>
        </w:tc>
        <w:tc>
          <w:tcPr>
            <w:tcW w:type="dxa" w:w="127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2.6x</w:t>
            </w:r>
          </w:p>
        </w:tc>
        <w:tc>
          <w:tcPr>
            <w:tcW w:type="dxa" w:w="1274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2.1x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Ground Debt has ZERO financial covenants. DSCR shown for BPA board comfort only. Carrefour at 0.88x net leverage is among the strongest credits in European grocery. All pool-level scenarios above SONG 1.40x threshold.</w:t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1500"/>
        <w:gridCol w:w="1500"/>
        <w:gridCol w:w="2000"/>
        <w:gridCol w:w="2026"/>
      </w:tblGrid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Asset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Capacity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Support Scheme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Counterparty</w:t>
            </w:r>
          </w:p>
        </w:tc>
        <w:tc>
          <w:tcPr>
            <w:tcW w:type="dxa" w:w="2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Pool Suitability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French hypermarkets (core)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280 stores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Freehold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Carrefour SA</w:t>
            </w:r>
          </w:p>
        </w:tc>
        <w:tc>
          <w:tcPr>
            <w:tcW w:type="dxa" w:w="2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Eligible — PRIMARY pool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Carrefour Market supermarkets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540 stores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Freehold (partial)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Carrefour SA</w:t>
            </w:r>
          </w:p>
        </w:tc>
        <w:tc>
          <w:tcPr>
            <w:tcW w:type="dxa" w:w="2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Eligible — secondary pool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Carrefour Property portfolio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EUR 24bn / 4m sqm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Managed portfolio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Carrefour Property</w:t>
            </w:r>
          </w:p>
        </w:tc>
        <w:tc>
          <w:tcPr>
            <w:tcW w:type="dxa" w:w="2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Strategic partnership angle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Pool exclusion: franchisees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~6,800 stores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N/A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Independent</w:t>
            </w:r>
          </w:p>
        </w:tc>
        <w:tc>
          <w:tcPr>
            <w:tcW w:type="dxa" w:w="2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Ineligible — not freehold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5. SONG Credit Box Fit Assessment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3000"/>
        <w:gridCol w:w="3026"/>
      </w:tblGrid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SONG Parameter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Requirement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Target Fit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Facility Size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EUR 200m minimum (EUR 100m GD)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EUR 300-500m — PASS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Rate Type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Fixed only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EUR fixed uplifts 1.5-2.5%/yr (Ground Debt) — PASS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Asset Quality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Investment grade / BPA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BBB/Stable. Dominant French grocer. 100+ years — PASS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LTV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30-40% (Ground Debt)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30-40% of land value — PASS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DSCR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Zero covenants (Ground Debt)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N/A — GD has zero financial covenants. Group DSCR &gt;4x — PASS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Tenor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30-55yr Ground Debt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30-55yr proposed — PASS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BPA Income Fit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Long-dated stable income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French grocery, defensive, non-discretionary — PASS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Covenant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Zero (Ground Debt product)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No financial covenants — PASS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Freehold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Required for Ground Debt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Confirmed via Carrefour Property vehicle — PASS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Geography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France (SONG active market)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France — PASS</w:t>
            </w:r>
          </w:p>
        </w:tc>
      </w:tr>
      <w:tr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H9 Gate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Pass all hard gates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PASS — legal opinion on bail emphyteotique for retail use required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1500"/>
        <w:gridCol w:w="1500"/>
        <w:gridCol w:w="1500"/>
        <w:gridCol w:w="2526"/>
      </w:tblGrid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Covenant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Threshold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Current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Headroom</w:t>
            </w:r>
          </w:p>
        </w:tc>
        <w:tc>
          <w:tcPr>
            <w:tcW w:type="dxa" w:w="2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Assessment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Ground Rent Coverage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N/A (GD)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N/A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N/A</w:t>
            </w:r>
          </w:p>
        </w:tc>
        <w:tc>
          <w:tcPr>
            <w:tcW w:type="dxa" w:w="2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Ground Debt — zero financial covenants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LTV (land value)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40%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30-40%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0-10pts</w:t>
            </w:r>
          </w:p>
        </w:tc>
        <w:tc>
          <w:tcPr>
            <w:tcW w:type="dxa" w:w="2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Within Ground Debt parameters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Net Leverage (group)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N/A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0.88x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2.1x+</w:t>
            </w:r>
          </w:p>
        </w:tc>
        <w:tc>
          <w:tcPr>
            <w:tcW w:type="dxa" w:w="2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Extraordinary group-level headroom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Credit Rating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BBB min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BBB/Stable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In line</w:t>
            </w:r>
          </w:p>
        </w:tc>
        <w:tc>
          <w:tcPr>
            <w:tcW w:type="dxa" w:w="2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S&amp;P investment grade confirmed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6. Existing Lender Syndicate &amp; Competitive Positioning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2000"/>
        <w:gridCol w:w="2000"/>
        <w:gridCol w:w="3026"/>
      </w:tblGrid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Lender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Confirmed Role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Source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SONG Competitive Notes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Phoenix Group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Lead / anchor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Annuity book; long-tenor grocery appetite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French grocery = ideal BPA fit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Aviva Investors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Participant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Duration match; grocery defensive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Active in continental European infrastructure debt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Canada Life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Participant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Strong appetite for French infrastructure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BBB credit; 30yr+ tenor demand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Royal London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Participant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ESG-compliant, essential retail mandate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Social value: food access, employment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Scottish Widows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Participant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Long-duration fixed income demand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Annuity matching; 30yr+ grocery income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M&amp;G Investments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Participant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Continental European infrastructure debt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Active in French real estate debt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ind w:left="720"/>
      </w:pPr>
      <w:r>
        <w:rPr>
          <w:rFonts w:ascii="Arial" w:cs="Arial" w:eastAsia="Arial" w:hAnsi="Arial"/>
          <w:sz w:val="20"/>
          <w:szCs w:val="20"/>
        </w:rPr>
        <w:t xml:space="preserve">"SONG Capital provides a 30-55 year Ground Debt facility via bail emphyteotique. Carrefour retains full freehold ownership of its hypermarket estate while unlocking capital equivalent to an S&amp;L. Fixed uplifts provide cost certainty vs uncapped CPI. The Morrisons GBP 370m facility is the direct UK precedent."</w:t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7. Contact Map &amp; Approach Strategy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1800"/>
        <w:gridCol w:w="2200"/>
        <w:gridCol w:w="2000"/>
        <w:gridCol w:w="2426"/>
      </w:tblGrid>
      <w:tr>
        <w:tc>
          <w:tcPr>
            <w:tcW w:type="dxa" w:w="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</w:t>
            </w:r>
          </w:p>
        </w:tc>
        <w:tc>
          <w:tcPr>
            <w:tcW w:type="dxa" w:w="18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Title / Organisation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Relevance</w:t>
            </w:r>
          </w:p>
        </w:tc>
        <w:tc>
          <w:tcPr>
            <w:tcW w:type="dxa" w:w="24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Approach</w:t>
            </w:r>
          </w:p>
        </w:tc>
      </w:tr>
      <w:tr>
        <w:tc>
          <w:tcPr>
            <w:tcW w:type="dxa" w:w="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P1</w:t>
            </w:r>
          </w:p>
        </w:tc>
        <w:tc>
          <w:tcPr>
            <w:tcW w:type="dxa" w:w="18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Matthieu Malige</w:t>
            </w:r>
          </w:p>
        </w:tc>
        <w:tc>
          <w:tcPr>
            <w:tcW w:type="dxa" w:w="2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CFO, Carrefour SA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Primary financial decision-maker (since 2017, Lazard background)</w:t>
            </w:r>
          </w:p>
        </w:tc>
        <w:tc>
          <w:tcPr>
            <w:tcW w:type="dxa" w:w="24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Direct approach / LinkedIn</w:t>
            </w:r>
          </w:p>
        </w:tc>
      </w:tr>
      <w:tr>
        <w:tc>
          <w:tcPr>
            <w:tcW w:type="dxa" w:w="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P1</w:t>
            </w:r>
          </w:p>
        </w:tc>
        <w:tc>
          <w:tcPr>
            <w:tcW w:type="dxa" w:w="18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Head of Treasury</w:t>
            </w:r>
          </w:p>
        </w:tc>
        <w:tc>
          <w:tcPr>
            <w:tcW w:type="dxa" w:w="2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Tresorier Groupe, Carrefour SA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Operational contact for debt facilities</w:t>
            </w:r>
          </w:p>
        </w:tc>
        <w:tc>
          <w:tcPr>
            <w:tcW w:type="dxa" w:w="24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LinkedIn search required</w:t>
            </w:r>
          </w:p>
        </w:tc>
      </w:tr>
      <w:tr>
        <w:tc>
          <w:tcPr>
            <w:tcW w:type="dxa" w:w="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P2</w:t>
            </w:r>
          </w:p>
        </w:tc>
        <w:tc>
          <w:tcPr>
            <w:tcW w:type="dxa" w:w="18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Head of RE Finance</w:t>
            </w:r>
          </w:p>
        </w:tc>
        <w:tc>
          <w:tcPr>
            <w:tcW w:type="dxa" w:w="2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Director Finance, Carrefour Property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Real estate financing authority</w:t>
            </w:r>
          </w:p>
        </w:tc>
        <w:tc>
          <w:tcPr>
            <w:tcW w:type="dxa" w:w="24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LinkedIn search required</w:t>
            </w:r>
          </w:p>
        </w:tc>
      </w:tr>
      <w:tr>
        <w:tc>
          <w:tcPr>
            <w:tcW w:type="dxa" w:w="6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P3</w:t>
            </w:r>
          </w:p>
        </w:tc>
        <w:tc>
          <w:tcPr>
            <w:tcW w:type="dxa" w:w="18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Segat / Yannick Cabrol</w:t>
            </w:r>
          </w:p>
        </w:tc>
        <w:tc>
          <w:tcPr>
            <w:tcW w:type="dxa" w:w="2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Segat infrastructure advisory</w:t>
            </w:r>
          </w:p>
        </w:tc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French institutional network — potential warm intro</w:t>
            </w:r>
          </w:p>
        </w:tc>
        <w:tc>
          <w:tcPr>
            <w:tcW w:type="dxa" w:w="24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GCCP existing relationship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ind w:left="720"/>
      </w:pPr>
      <w:r>
        <w:rPr>
          <w:rFonts w:ascii="Arial" w:cs="Arial" w:eastAsia="Arial" w:hAnsi="Arial"/>
          <w:sz w:val="20"/>
          <w:szCs w:val="20"/>
        </w:rPr>
        <w:t xml:space="preserve">"Aaron Sherlock, Grand Canal Capital Partners — We are reaching out regarding an institutional capital solution for Carrefour's French hypermarket estate. GCCP has a mandate from an insurance-backed lender to provide 30-55 year Ground Debt facilities to leading European grocers. The operator retains freehold ownership while unlocking proceeds matching an S&amp;L. Fixed annual uplifts provide long-term cost certainty. Morrisons GBP 370m is our UK precedent — we would welcome 30 minutes to explore the French equivalent for Carrefour."</w:t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8. Decision Timeline &amp; Critical Path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00"/>
        <w:gridCol w:w="1200"/>
        <w:gridCol w:w="3500"/>
        <w:gridCol w:w="2926"/>
      </w:tblGrid>
      <w:tr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Date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Status</w:t>
            </w:r>
          </w:p>
        </w:tc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Event / Milestone</w:t>
            </w:r>
          </w:p>
        </w:tc>
        <w:tc>
          <w:tcPr>
            <w:tcW w:type="dxa" w:w="29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GCCP / SONG Action</w:t>
            </w:r>
          </w:p>
        </w:tc>
      </w:tr>
      <w:tr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Apr 2026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Critical</w:t>
            </w:r>
          </w:p>
        </w:tc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Commission bail emphyteotique legal opinion (retail/grocery use)</w:t>
            </w:r>
          </w:p>
        </w:tc>
        <w:tc>
          <w:tcPr>
            <w:tcW w:type="dxa" w:w="29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GCCP / Gide Loyrette Nouel / CMS Francis Lefebvre</w:t>
            </w:r>
          </w:p>
        </w:tc>
      </w:tr>
      <w:tr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Apr 2026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Critical</w:t>
            </w:r>
          </w:p>
        </w:tc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Identify Head of Treasury via LinkedIn</w:t>
            </w:r>
          </w:p>
        </w:tc>
        <w:tc>
          <w:tcPr>
            <w:tcW w:type="dxa" w:w="29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AS / JH LinkedIn search</w:t>
            </w:r>
          </w:p>
        </w:tc>
      </w:tr>
      <w:tr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Apr 2026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Secondary</w:t>
            </w:r>
          </w:p>
        </w:tc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Prepare CPI vs fixed uplift comparison model (vs SUPR terms)</w:t>
            </w:r>
          </w:p>
        </w:tc>
        <w:tc>
          <w:tcPr>
            <w:tcW w:type="dxa" w:w="29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AS / GCCP modelling</w:t>
            </w:r>
          </w:p>
        </w:tc>
      </w:tr>
      <w:tr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May 2026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Key Milestone</w:t>
            </w:r>
          </w:p>
        </w:tc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Send 150-word intro to Head of Treasury</w:t>
            </w:r>
          </w:p>
        </w:tc>
        <w:tc>
          <w:tcPr>
            <w:tcW w:type="dxa" w:w="29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AS outreach</w:t>
            </w:r>
          </w:p>
        </w:tc>
      </w:tr>
      <w:tr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May 2026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Target</w:t>
            </w:r>
          </w:p>
        </w:tc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Exploratory call with Carrefour Finance/Property team</w:t>
            </w:r>
          </w:p>
        </w:tc>
        <w:tc>
          <w:tcPr>
            <w:tcW w:type="dxa" w:w="29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AS + JH attend</w:t>
            </w:r>
          </w:p>
        </w:tc>
      </w:tr>
      <w:tr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Jun 2026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Secondary</w:t>
            </w:r>
          </w:p>
        </w:tc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Share anonymised Morrisons term sheet as precedent</w:t>
            </w:r>
          </w:p>
        </w:tc>
        <w:tc>
          <w:tcPr>
            <w:tcW w:type="dxa" w:w="29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GCCP structures</w:t>
            </w:r>
          </w:p>
        </w:tc>
      </w:tr>
      <w:tr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H2 2026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Execution</w:t>
            </w:r>
          </w:p>
        </w:tc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Align SONG debt with Carrefour Property institutional partnership</w:t>
            </w:r>
          </w:p>
        </w:tc>
        <w:tc>
          <w:tcPr>
            <w:tcW w:type="dxa" w:w="29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Position alongside partial IPO</w:t>
            </w:r>
          </w:p>
        </w:tc>
      </w:tr>
      <w:tr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Q4 2026</w:t>
            </w:r>
          </w:p>
        </w:tc>
        <w:tc>
          <w:tcPr>
            <w:tcW w:type="dxa" w:w="12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Hard Deadline</w:t>
            </w:r>
          </w:p>
        </w:tc>
        <w:tc>
          <w:tcPr>
            <w:tcW w:type="dxa" w:w="3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Heads of Terms and facility completion target</w:t>
            </w:r>
          </w:p>
        </w:tc>
        <w:tc>
          <w:tcPr>
            <w:tcW w:type="dxa" w:w="29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Fee receipt: EUR 3.0-5.0m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9. Risk Register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1000"/>
        <w:gridCol w:w="3000"/>
        <w:gridCol w:w="3026"/>
      </w:tblGrid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Risk</w:t>
            </w:r>
          </w:p>
        </w:tc>
        <w:tc>
          <w:tcPr>
            <w:tcW w:type="dxa" w:w="1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Level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Description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Mitigant / GCCP Response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Bail Emphyteotique Legal Opinion</w:t>
            </w:r>
          </w:p>
        </w:tc>
        <w:tc>
          <w:tcPr>
            <w:tcW w:type="dxa" w:w="1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High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French legal opinion not in hand for commercial retail/grocery use of bail emphyteotique.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Commission immediately from Gide / CMS Francis Lefebvre. EUR 15-25k. Parallel to outreach.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SUPR CPI-Linked Terms Established</w:t>
            </w:r>
          </w:p>
        </w:tc>
        <w:tc>
          <w:tcPr>
            <w:tcW w:type="dxa" w:w="1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High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Carrefour already accepting CPI-linked rent from SUPR. SONG fixed uplift is different.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Model SONG fixed uplift value vs uncapped CPI. 2.0%/yr fixed is competitive in low-inflation environment.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Freehold Estate Depleting</w:t>
            </w:r>
          </w:p>
        </w:tc>
        <w:tc>
          <w:tcPr>
            <w:tcW w:type="dxa" w:w="1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Medium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Carrefour disposing EUR 300-600m/yr via S&amp;L. Estate shrinking.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Act within 12-24 months. Sufficient estate remains (EUR 7.85-9.85bn).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Carrefour Prefers Full S&amp;L</w:t>
            </w:r>
          </w:p>
        </w:tc>
        <w:tc>
          <w:tcPr>
            <w:tcW w:type="dxa" w:w="1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Medium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S&amp;L provides cleaner balance sheet treatment.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Model comparative showing long-term cost advantage of bail emphyteotique vs S&amp;L.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BPA Insurers Unfamiliar with French Grocery</w:t>
            </w:r>
          </w:p>
        </w:tc>
        <w:tc>
          <w:tcPr>
            <w:tcW w:type="dxa" w:w="1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Medium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No BPA insurer has done French grocery Ground Debt.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EGAlim law provides revenue protection. BBB rating provides credit comfort. Morrisons precedent.</w:t>
            </w:r>
          </w:p>
        </w:tc>
      </w:tr>
      <w:tr>
        <w:tc>
          <w:tcPr>
            <w:tcW w:type="dxa" w:w="2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Carrefour Property IPO Timing</w:t>
            </w:r>
          </w:p>
        </w:tc>
        <w:tc>
          <w:tcPr>
            <w:tcW w:type="dxa" w:w="1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Low</w:t>
            </w:r>
          </w:p>
        </w:tc>
        <w:tc>
          <w:tcPr>
            <w:tcW w:type="dxa" w:w="30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Partial IPO may delay or change strategic priorities.</w:t>
            </w:r>
          </w:p>
        </w:tc>
        <w:tc>
          <w:tcPr>
            <w:tcW w:type="dxa" w:w="3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SONG debt complements equity partnership — not competing.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10. Fee Projection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1500"/>
        <w:gridCol w:w="1500"/>
        <w:gridCol w:w="1100"/>
        <w:gridCol w:w="1400"/>
        <w:gridCol w:w="1526"/>
      </w:tblGrid>
      <w:tr>
        <w:tc>
          <w:tcPr>
            <w:tcW w:type="dxa" w:w="2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Opportunity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Facility Size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GCCP Fee at 1%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Probability</w:t>
            </w:r>
          </w:p>
        </w:tc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Risk-Adjusted Fee</w:t>
            </w:r>
          </w:p>
        </w:tc>
        <w:tc>
          <w:tcPr>
            <w:tcW w:type="dxa" w:w="1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Target Close</w:t>
            </w:r>
          </w:p>
        </w:tc>
      </w:tr>
      <w:tr>
        <w:tc>
          <w:tcPr>
            <w:tcW w:type="dxa" w:w="2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Primary: 50 stores Ground Debt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EUR 400m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EUR 4.0m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35%</w:t>
            </w:r>
          </w:p>
        </w:tc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EUR 1.4m</w:t>
            </w:r>
          </w:p>
        </w:tc>
        <w:tc>
          <w:tcPr>
            <w:tcW w:type="dxa" w:w="1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Q4 2026</w:t>
            </w:r>
          </w:p>
        </w:tc>
      </w:tr>
      <w:tr>
        <w:tc>
          <w:tcPr>
            <w:tcW w:type="dxa" w:w="2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Conservative: 30 hypermarkets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EUR 300m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EUR 3.0m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40%</w:t>
            </w:r>
          </w:p>
        </w:tc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EUR 1.2m</w:t>
            </w:r>
          </w:p>
        </w:tc>
        <w:tc>
          <w:tcPr>
            <w:tcW w:type="dxa" w:w="1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FFFFF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Q4 2026</w:t>
            </w:r>
          </w:p>
        </w:tc>
      </w:tr>
      <w:tr>
        <w:tc>
          <w:tcPr>
            <w:tcW w:type="dxa" w:w="2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Upside: 80 stores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EUR 500m</w:t>
            </w:r>
          </w:p>
        </w:tc>
        <w:tc>
          <w:tcPr>
            <w:tcW w:type="dxa" w:w="15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EUR 5.0m</w:t>
            </w:r>
          </w:p>
        </w:tc>
        <w:tc>
          <w:tcPr>
            <w:tcW w:type="dxa" w:w="11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20%</w:t>
            </w:r>
          </w:p>
        </w:tc>
        <w:tc>
          <w:tcPr>
            <w:tcW w:type="dxa" w:w="1400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color w:val="000000"/>
                <w:sz w:val="18"/>
                <w:szCs w:val="18"/>
              </w:rPr>
              <w:t xml:space="preserve">EUR 1.0m</w:t>
            </w:r>
          </w:p>
        </w:tc>
        <w:tc>
          <w:tcPr>
            <w:tcW w:type="dxa" w:w="15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F5F6F8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000000"/>
                <w:sz w:val="18"/>
                <w:szCs w:val="18"/>
              </w:rPr>
              <w:t xml:space="preserve">Q1 2027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W w:type="dxa" w:w="9026"/>
            <w:tcBorders>
              <w:top w:val="single" w:color="BFBFBF" w:sz="6"/>
              <w:left w:val="single" w:color="BFBFBF" w:sz="6"/>
              <w:bottom w:val="single" w:color="BFBFBF" w:sz="6"/>
              <w:right w:val="single" w:color="BFBFBF" w:sz="6"/>
            </w:tcBorders>
            <w:shd w:fill="1C2237" w:val="clear"/>
            <w:tcMar>
              <w:top w:type="dxa" w:w="50"/>
              <w:left w:type="dxa" w:w="80"/>
              <w:bottom w:type="dxa" w:w="5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11. GCCP Recommendation &amp; Immediate Actions</w:t>
            </w:r>
          </w:p>
        </w:tc>
      </w:tr>
    </w:tbl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b/>
          <w:bCs/>
          <w:color w:val="1C2237"/>
          <w:sz w:val="20"/>
          <w:szCs w:val="20"/>
        </w:rPr>
        <w:t xml:space="preserve">GCCP recommends immediate advancement of Carrefour as a GO NOW SONG Capital Ground Debt opportunity. Carrefour is France's largest grocer with BBB/Stable credit, 0.88x net leverage, and an active asset monetisation programme. The SONG Ground Debt product offers a fundamentally different proposition to Carrefour's existing SUPR S&amp;L: operator retains freehold, 30yr+ tenor, fixed uplifts, and equivalent proceeds. The Morrisons GBP 370m facility is the direct structural template. The Carrefour Property partial IPO creates an institutional alignment window — BPA insurers are the same pension fund cohort Carrefour is targeting as equity partners.</w:t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b/>
          <w:bCs/>
          <w:sz w:val="20"/>
          <w:szCs w:val="20"/>
        </w:rPr>
        <w:t xml:space="preserve">Recommended SONG facility: EUR 300-500m Ground Debt (bail emphyteotique) | 30-55yr | Fixed uplifts 1.5-2.5%/yr | Fee: EUR 3.0-5.0m</w:t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sz w:val="20"/>
          <w:szCs w:val="20"/>
        </w:rPr>
        <w:t xml:space="preserve">1. Commission bail emphyteotique legal opinion for commercial retail/grocery use — GCCP / Gide / CMS — April 2026</w:t>
      </w:r>
    </w:p>
    <w:p>
      <w:r>
        <w:rPr>
          <w:rFonts w:ascii="Arial" w:cs="Arial" w:eastAsia="Arial" w:hAnsi="Arial"/>
          <w:sz w:val="20"/>
          <w:szCs w:val="20"/>
        </w:rPr>
        <w:t xml:space="preserve">2. Identify Carrefour Head of Treasury via LinkedIn — AS — This week</w:t>
      </w:r>
    </w:p>
    <w:p>
      <w:r>
        <w:rPr>
          <w:rFonts w:ascii="Arial" w:cs="Arial" w:eastAsia="Arial" w:hAnsi="Arial"/>
          <w:sz w:val="20"/>
          <w:szCs w:val="20"/>
        </w:rPr>
        <w:t xml:space="preserve">3. Check Aaron/JH LinkedIn connections for Carrefour finance/treasury/property contacts — AS/JH — This week</w:t>
      </w:r>
    </w:p>
    <w:p>
      <w:r>
        <w:rPr>
          <w:rFonts w:ascii="Arial" w:cs="Arial" w:eastAsia="Arial" w:hAnsi="Arial"/>
          <w:sz w:val="20"/>
          <w:szCs w:val="20"/>
        </w:rPr>
        <w:t xml:space="preserve">4. Prepare CPI vs fixed uplift comparison model (SUPR terms vs SONG) — AS / GCCP modelling — April 2026</w:t>
      </w:r>
    </w:p>
    <w:p>
      <w:r>
        <w:rPr>
          <w:rFonts w:ascii="Arial" w:cs="Arial" w:eastAsia="Arial" w:hAnsi="Arial"/>
          <w:sz w:val="20"/>
          <w:szCs w:val="20"/>
        </w:rPr>
        <w:t xml:space="preserve">5. Send 150-word intro to Head of Treasury — AS — May 2026</w:t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sz w:val="20"/>
          <w:szCs w:val="20"/>
        </w:rPr>
        <w:t xml:space="preserve">Reference precedent: Morrisons (GBP 370m, 76 UK supermarkets, freehold, 45yr Ground Debt) is the direct structural template. Eclairion (EUR 563m, 10yr, 295bps, GCCP-introduced) confirms SONG appetite for European assets at scale.</w:t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[AI-DRAFT] — Generated by GCCP AI systems. Requires partner review before external distribution.</w:t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r>
        <w:rPr>
          <w:rFonts w:ascii="Arial" w:cs="Arial" w:eastAsia="Arial" w:hAnsi="Arial"/>
          <w:b/>
          <w:bCs/>
          <w:sz w:val="20"/>
          <w:szCs w:val="20"/>
        </w:rPr>
        <w:t xml:space="preserve">Sources:</w:t>
      </w:r>
    </w:p>
    <w:p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Carrefour SA FY2025 results — Euronext Paris filings, 2025</w:t>
      </w:r>
    </w:p>
    <w:p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Supermarket Income REIT S&amp;L transactions — SUPR investor announcements, Jan/Nov 2025</w:t>
      </w:r>
    </w:p>
    <w:p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Carrefour Property partial IPO — IPE Real Assets, 2026</w:t>
      </w:r>
    </w:p>
    <w:p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Morrisons GBP 370m Ground Debt — SONG Capital reference transaction</w:t>
      </w:r>
    </w:p>
    <w:p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GCCP France Master Index v10, 26 March 2026</w:t>
      </w:r>
    </w:p>
    <w:p>
      <w:r>
        <w:rPr>
          <w:rFonts w:ascii="Arial" w:cs="Arial" w:eastAsia="Arial" w:hAnsi="Arial"/>
          <w:b w:val="false"/>
          <w:bCs w:val="false"/>
          <w:sz w:val="20"/>
          <w:szCs w:val="20"/>
        </w:rPr>
        <w:t xml:space="preserve">GCCP Meeting Debrief — Segat/Yannick, 31 March 2026</w:t>
      </w:r>
    </w:p>
    <w:p>
      <w:r>
        <w:rPr>
          <w:rFonts w:ascii="Arial" w:cs="Arial" w:eastAsia="Arial" w:hAnsi="Arial"/>
          <w:sz w:val="20"/>
          <w:szCs w:val="20"/>
        </w:rPr>
        <w:t xml:space="preserve"/>
      </w:r>
    </w:p>
    <w:p>
      <w:pPr>
        <w:jc w:val="center"/>
      </w:pPr>
      <w:r>
        <w:rPr>
          <w:rFonts w:ascii="Arial" w:cs="Arial" w:eastAsia="Arial" w:hAnsi="Arial"/>
          <w:color w:val="4A4F5C"/>
          <w:sz w:val="16"/>
          <w:szCs w:val="16"/>
        </w:rPr>
        <w:t xml:space="preserve">This document is prepared by Grand Canal Capital Partners for internal use only. Not for distribution. Confidential.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tbl>
    <w:tblPr>
      <w:tblW w:type="pct" w:w="100%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6000"/>
      <w:gridCol w:w="4026"/>
    </w:tblGrid>
    <w:tr>
      <w:tc>
        <w:tcPr>
          <w:tcBorders>
            <w:top w:val="single" w:color="1C2237" w:sz="6"/>
            <w:left w:val="none" w:color="FFFFFF" w:sz="0"/>
            <w:bottom w:val="none" w:color="FFFFFF" w:sz="0"/>
            <w:right w:val="none" w:color="FFFFFF" w:sz="0"/>
          </w:tcBorders>
        </w:tcPr>
        <w:p>
          <w:r>
            <w:rPr>
              <w:rFonts w:ascii="Arial" w:cs="Arial" w:eastAsia="Arial" w:hAnsi="Arial"/>
              <w:color w:val="4A4F5C"/>
              <w:sz w:val="16"/>
              <w:szCs w:val="16"/>
            </w:rPr>
            <w:t xml:space="preserve">Grand Canal Capital Partners | Strictly Confidential</w:t>
          </w:r>
        </w:p>
      </w:tc>
      <w:tc>
        <w:tcPr>
          <w:tcBorders>
            <w:top w:val="single" w:color="1C2237" w:sz="6"/>
            <w:left w:val="none" w:color="FFFFFF" w:sz="0"/>
            <w:bottom w:val="none" w:color="FFFFFF" w:sz="0"/>
            <w:right w:val="none" w:color="FFFFFF" w:sz="0"/>
          </w:tcBorders>
        </w:tcPr>
        <w:p>
          <w:pPr>
            <w:jc w:val="right"/>
          </w:pPr>
          <w:r>
            <w:rPr>
              <w:rFonts w:ascii="Arial" w:cs="Arial" w:eastAsia="Arial" w:hAnsi="Arial"/>
              <w:color w:val="4A4F5C"/>
              <w:sz w:val="16"/>
              <w:szCs w:val="16"/>
            </w:rPr>
            <w:t xml:space="preserve">Page </w:t>
          </w:r>
          <w:r>
            <w:rPr>
              <w:rFonts w:ascii="Arial" w:cs="Arial" w:eastAsia="Arial" w:hAnsi="Arial"/>
              <w:color w:val="4A4F5C"/>
              <w:sz w:val="16"/>
              <w:szCs w:val="16"/>
            </w:rPr>
            <w:fldChar w:fldCharType="begin"/>
            <w:instrText xml:space="preserve">PAGE</w:instrText>
            <w:fldChar w:fldCharType="separate"/>
            <w:fldChar w:fldCharType="end"/>
          </w:r>
        </w:p>
      </w:tc>
    </w:tr>
  </w:tbl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pct" w:w="100%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6000"/>
      <w:gridCol w:w="4026"/>
    </w:tblGrid>
    <w:tr>
      <w:tc>
        <w:tcPr>
          <w:tcBorders>
            <w:top w:val="none" w:color="FFFFFF" w:sz="0"/>
            <w:left w:val="none" w:color="FFFFFF" w:sz="0"/>
            <w:bottom w:val="single" w:color="1C2237" w:sz="6"/>
            <w:right w:val="none" w:color="FFFFFF" w:sz="0"/>
          </w:tcBorders>
        </w:tcPr>
        <w:p>
          <w:r>
            <w:rPr>
              <w:rFonts w:ascii="Arial" w:cs="Arial" w:eastAsia="Arial" w:hAnsi="Arial"/>
              <w:b/>
              <w:bCs/>
              <w:color w:val="1C2237"/>
              <w:sz w:val="16"/>
              <w:szCs w:val="16"/>
            </w:rPr>
            <w:t xml:space="preserve">GRAND CANAL CAPITAL PARTNERS</w:t>
          </w:r>
        </w:p>
      </w:tc>
      <w:tc>
        <w:tcPr>
          <w:tcBorders>
            <w:top w:val="none" w:color="FFFFFF" w:sz="0"/>
            <w:left w:val="none" w:color="FFFFFF" w:sz="0"/>
            <w:bottom w:val="single" w:color="1C2237" w:sz="6"/>
            <w:right w:val="none" w:color="FFFFFF" w:sz="0"/>
          </w:tcBorders>
        </w:tcPr>
        <w:p>
          <w:pPr>
            <w:jc w:val="right"/>
          </w:pPr>
          <w:r>
            <w:rPr>
              <w:rFonts w:ascii="Arial" w:cs="Arial" w:eastAsia="Arial" w:hAnsi="Arial"/>
              <w:color w:val="4A4F5C"/>
              <w:sz w:val="16"/>
              <w:szCs w:val="16"/>
            </w:rPr>
            <w:t xml:space="preserve">FR-GR-01 | v1 | 02Apr2026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image" Target="media/c028e78f433f314109cb2e72d0ad4b944b4fa50e.jpg"/><Relationship Id="rId10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2026-04-02T18:19:09.199Z</dcterms:created>
  <dcterms:modified xsi:type="dcterms:W3CDTF">2026-04-02T18:19:09.199Z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