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r>
        <w:drawing>
          <wp:inline distT="0" distB="0" distL="0" distR="0">
            <wp:extent cx="1524000" cy="1019175"/>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 cstate="none"/>
                    <a:srcRect/>
                    <a:stretch>
                      <a:fillRect/>
                    </a:stretch>
                  </pic:blipFill>
                  <pic:spPr bwMode="auto">
                    <a:xfrm>
                      <a:off x="0" y="0"/>
                      <a:ext cx="1524000" cy="1019175"/>
                    </a:xfrm>
                    <a:prstGeom prst="rect">
                      <a:avLst/>
                    </a:prstGeom>
                  </pic:spPr>
                </pic:pic>
              </a:graphicData>
            </a:graphic>
          </wp:inline>
        </w:drawing>
      </w:r>
    </w:p>
    <w:p>
      <w:r>
        <w:rPr>
          <w:rFonts w:ascii="Arial" w:cs="Arial" w:eastAsia="Arial" w:hAnsi="Arial"/>
          <w:b/>
          <w:bCs/>
          <w:color w:val="1C2237"/>
          <w:sz w:val="28"/>
          <w:szCs w:val="28"/>
        </w:rPr>
        <w:t xml:space="preserve">PARIS HABITAT — EUR 200-400m Ground Debt (Bail Emphyteotique) | Social Housing</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BFBFBF" w:sz="6"/>
              <w:left w:val="single" w:color="BFBFBF" w:sz="6"/>
              <w:bottom w:val="single" w:color="BFBFBF" w:sz="6"/>
              <w:right w:val="single" w:color="BFBFBF" w:sz="6"/>
            </w:tcBorders>
            <w:shd w:fill="8B0000" w:val="clear"/>
            <w:tcMar>
              <w:top w:type="dxa" w:w="50"/>
              <w:left w:type="dxa" w:w="80"/>
              <w:bottom w:type="dxa" w:w="50"/>
              <w:right w:type="dxa" w:w="80"/>
            </w:tcMar>
          </w:tcPr>
          <w:p>
            <w:pPr>
              <w:jc w:val="center"/>
            </w:pPr>
            <w:r>
              <w:rPr>
                <w:rFonts w:ascii="Arial" w:cs="Arial" w:eastAsia="Arial" w:hAnsi="Arial"/>
                <w:b/>
                <w:bCs/>
                <w:color w:val="FFFFFF"/>
                <w:sz w:val="20"/>
                <w:szCs w:val="20"/>
              </w:rPr>
              <w:t xml:space="preserve">STRICTLY CONFIDENTIAL — GCCP INTERNAL USE ONLY</w:t>
            </w:r>
          </w:p>
        </w:tc>
      </w:tr>
    </w:tbl>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6"/>
        <w:gridCol w:w="2257"/>
        <w:gridCol w:w="2257"/>
        <w:gridCol w:w="2256"/>
      </w:tblGrid>
      <w:tr>
        <w:tc>
          <w:tcPr>
            <w:tcW w:type="dxa" w:w="225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Pipeline ID</w:t>
            </w:r>
          </w:p>
        </w:tc>
        <w:tc>
          <w:tcPr>
            <w:tcW w:type="dxa" w:w="2257"/>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FR-PR04</w:t>
            </w:r>
          </w:p>
        </w:tc>
        <w:tc>
          <w:tcPr>
            <w:tcW w:type="dxa" w:w="2257"/>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SONG Score</w:t>
            </w:r>
          </w:p>
        </w:tc>
        <w:tc>
          <w:tcPr>
            <w:tcW w:type="dxa" w:w="225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7.60</w:t>
            </w:r>
          </w:p>
        </w:tc>
      </w:tr>
      <w:tr>
        <w:tc>
          <w:tcPr>
            <w:tcW w:type="dxa" w:w="225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Tier</w:t>
            </w:r>
          </w:p>
        </w:tc>
        <w:tc>
          <w:tcPr>
            <w:tcW w:type="dxa" w:w="2257"/>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GO NOW</w:t>
            </w:r>
          </w:p>
        </w:tc>
        <w:tc>
          <w:tcPr>
            <w:tcW w:type="dxa" w:w="2257"/>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GCCP Lead</w:t>
            </w:r>
          </w:p>
        </w:tc>
        <w:tc>
          <w:tcPr>
            <w:tcW w:type="dxa" w:w="225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AS</w:t>
            </w:r>
          </w:p>
        </w:tc>
      </w:tr>
      <w:tr>
        <w:tc>
          <w:tcPr>
            <w:tcW w:type="dxa" w:w="225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Version</w:t>
            </w:r>
          </w:p>
        </w:tc>
        <w:tc>
          <w:tcPr>
            <w:tcW w:type="dxa" w:w="2257"/>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v1</w:t>
            </w:r>
          </w:p>
        </w:tc>
        <w:tc>
          <w:tcPr>
            <w:tcW w:type="dxa" w:w="2257"/>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Date</w:t>
            </w:r>
          </w:p>
        </w:tc>
        <w:tc>
          <w:tcPr>
            <w:tcW w:type="dxa" w:w="225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02Apr2026</w:t>
            </w:r>
          </w:p>
        </w:tc>
      </w:tr>
      <w:tr>
        <w:tc>
          <w:tcPr>
            <w:tcW w:type="dxa" w:w="225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Prepared By</w:t>
            </w:r>
          </w:p>
        </w:tc>
        <w:tc>
          <w:tcPr>
            <w:tcW w:type="dxa" w:w="677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Aaron Sherlock, Grand Canal Capital Partners</w:t>
            </w:r>
          </w:p>
        </w:tc>
      </w:tr>
    </w:tbl>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pPr>
              <w:jc w:val="center"/>
            </w:pPr>
            <w:r>
              <w:rPr>
                <w:rFonts w:ascii="Arial" w:cs="Arial" w:eastAsia="Arial" w:hAnsi="Arial"/>
                <w:b/>
                <w:bCs/>
                <w:color w:val="FFFFFF"/>
                <w:sz w:val="20"/>
                <w:szCs w:val="20"/>
              </w:rPr>
              <w:t xml:space="preserve">IMMEDIATE ACTION REQUIRED: Obtain French procurement legal opinion before approach — Segat mayoral relationship provides direct access</w:t>
            </w:r>
          </w:p>
        </w:tc>
      </w:tr>
    </w:tbl>
    <w:p>
      <w:r>
        <w:rPr>
          <w:rFonts w:ascii="Arial" w:cs="Arial" w:eastAsia="Arial" w:hAnsi="Arial"/>
          <w:sz w:val="20"/>
          <w:szCs w:val="20"/>
        </w:rPr>
        <w:t xml:space="preserve"/>
      </w:r>
    </w:p>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1. Company Overview &amp; Key Metrics</w:t>
            </w:r>
          </w:p>
        </w:tc>
      </w:tr>
    </w:tbl>
    <w:p>
      <w:r>
        <w:rPr>
          <w:rFonts w:ascii="Arial" w:cs="Arial" w:eastAsia="Arial" w:hAnsi="Arial"/>
          <w:sz w:val="20"/>
          <w:szCs w:val="20"/>
        </w:rPr>
        <w:t xml:space="preserve"/>
      </w:r>
    </w:p>
    <w:p>
      <w:r>
        <w:rPr>
          <w:rFonts w:ascii="Arial" w:cs="Arial" w:eastAsia="Arial" w:hAnsi="Arial"/>
          <w:b w:val="false"/>
          <w:bCs w:val="false"/>
          <w:sz w:val="20"/>
          <w:szCs w:val="20"/>
        </w:rPr>
        <w:t xml:space="preserve">Paris Habitat is France's largest single social landlord, managing 128,698 housing units across 54 municipalities in the Paris metropolitan region. As an Office Public de l'Habitat (OPH), it is a public body backed by the City of Paris — effectively municipal sovereign credit at AA-equivalent level. The entity serves 285,587 residents in some of the most valuable urban locations in France.</w:t>
      </w:r>
    </w:p>
    <w:p>
      <w:r>
        <w:rPr>
          <w:rFonts w:ascii="Arial" w:cs="Arial" w:eastAsia="Arial" w:hAnsi="Arial"/>
          <w:sz w:val="20"/>
          <w:szCs w:val="20"/>
        </w:rPr>
        <w:t xml:space="preserve"/>
      </w:r>
    </w:p>
    <w:p>
      <w:r>
        <w:rPr>
          <w:rFonts w:ascii="Arial" w:cs="Arial" w:eastAsia="Arial" w:hAnsi="Arial"/>
          <w:b w:val="false"/>
          <w:bCs w:val="false"/>
          <w:sz w:val="20"/>
          <w:szCs w:val="20"/>
        </w:rPr>
        <w:t xml:space="preserve">Paris Habitat has demonstrated capital market sophistication through its issuance of a Paris Climate Bond (maturing May 2031). Unlike CDC-backed social housing providers that are largely self-funded through Caisse des Depots recycled savings, Paris Habitat operates an externally funded model — making it a viable target for BPA institutional capital.</w:t>
      </w:r>
    </w:p>
    <w:p>
      <w:r>
        <w:rPr>
          <w:rFonts w:ascii="Arial" w:cs="Arial" w:eastAsia="Arial" w:hAnsi="Arial"/>
          <w:sz w:val="20"/>
          <w:szCs w:val="20"/>
        </w:rPr>
        <w:t xml:space="preserve"/>
      </w:r>
    </w:p>
    <w:p>
      <w:r>
        <w:rPr>
          <w:rFonts w:ascii="Arial" w:cs="Arial" w:eastAsia="Arial" w:hAnsi="Arial"/>
          <w:b w:val="false"/>
          <w:bCs w:val="false"/>
          <w:sz w:val="20"/>
          <w:szCs w:val="20"/>
        </w:rPr>
        <w:t xml:space="preserve">SONG Ground Debt via bail emphyteotique allows Paris Habitat to monetise its extraordinary Paris land portfolio WITHOUT selling or losing the asset. Proceeds fund new social housing development. This is the financial engineering that French municipal authorities need — and Segat's direct mayoral relationship provides a unique access route.</w:t>
      </w:r>
    </w:p>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6"/>
        <w:gridCol w:w="2257"/>
        <w:gridCol w:w="2257"/>
        <w:gridCol w:w="2256"/>
      </w:tblGrid>
      <w:tr>
        <w:tc>
          <w:tcPr>
            <w:tcW w:type="dxa" w:w="225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Metric</w:t>
            </w:r>
          </w:p>
        </w:tc>
        <w:tc>
          <w:tcPr>
            <w:tcW w:type="dxa" w:w="2257"/>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Value</w:t>
            </w:r>
          </w:p>
        </w:tc>
        <w:tc>
          <w:tcPr>
            <w:tcW w:type="dxa" w:w="2257"/>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Metric</w:t>
            </w:r>
          </w:p>
        </w:tc>
        <w:tc>
          <w:tcPr>
            <w:tcW w:type="dxa" w:w="225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Value</w:t>
            </w:r>
          </w:p>
        </w:tc>
      </w:tr>
      <w:tr>
        <w:tc>
          <w:tcPr>
            <w:tcW w:type="dxa" w:w="225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Entity Type</w:t>
            </w:r>
          </w:p>
        </w:tc>
        <w:tc>
          <w:tcPr>
            <w:tcW w:type="dxa" w:w="2257"/>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OPH (Office Public de l'Habitat)</w:t>
            </w:r>
          </w:p>
        </w:tc>
        <w:tc>
          <w:tcPr>
            <w:tcW w:type="dxa" w:w="2257"/>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Backing</w:t>
            </w:r>
          </w:p>
        </w:tc>
        <w:tc>
          <w:tcPr>
            <w:tcW w:type="dxa" w:w="225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City of Paris (AA-equivalent)</w:t>
            </w:r>
          </w:p>
        </w:tc>
      </w:tr>
      <w:tr>
        <w:tc>
          <w:tcPr>
            <w:tcW w:type="dxa" w:w="225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Housing Units</w:t>
            </w:r>
          </w:p>
        </w:tc>
        <w:tc>
          <w:tcPr>
            <w:tcW w:type="dxa" w:w="2257"/>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128,698</w:t>
            </w:r>
          </w:p>
        </w:tc>
        <w:tc>
          <w:tcPr>
            <w:tcW w:type="dxa" w:w="2257"/>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Municipalities</w:t>
            </w:r>
          </w:p>
        </w:tc>
        <w:tc>
          <w:tcPr>
            <w:tcW w:type="dxa" w:w="225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54 (Paris metro)</w:t>
            </w:r>
          </w:p>
        </w:tc>
      </w:tr>
      <w:tr>
        <w:tc>
          <w:tcPr>
            <w:tcW w:type="dxa" w:w="225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Residents Served</w:t>
            </w:r>
          </w:p>
        </w:tc>
        <w:tc>
          <w:tcPr>
            <w:tcW w:type="dxa" w:w="2257"/>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285,587</w:t>
            </w:r>
          </w:p>
        </w:tc>
        <w:tc>
          <w:tcPr>
            <w:tcW w:type="dxa" w:w="2257"/>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Occupancy</w:t>
            </w:r>
          </w:p>
        </w:tc>
        <w:tc>
          <w:tcPr>
            <w:tcW w:type="dxa" w:w="225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Effectively 100% (years-long waiting lists)</w:t>
            </w:r>
          </w:p>
        </w:tc>
      </w:tr>
      <w:tr>
        <w:tc>
          <w:tcPr>
            <w:tcW w:type="dxa" w:w="225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Climate Bond</w:t>
            </w:r>
          </w:p>
        </w:tc>
        <w:tc>
          <w:tcPr>
            <w:tcW w:type="dxa" w:w="2257"/>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Outstanding (maturity May 2031)</w:t>
            </w:r>
          </w:p>
        </w:tc>
        <w:tc>
          <w:tcPr>
            <w:tcW w:type="dxa" w:w="2257"/>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Finance Capacity</w:t>
            </w:r>
          </w:p>
        </w:tc>
        <w:tc>
          <w:tcPr>
            <w:tcW w:type="dxa" w:w="225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Institutional-grade (bond market access)</w:t>
            </w:r>
          </w:p>
        </w:tc>
      </w:tr>
    </w:tbl>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500"/>
        <w:gridCol w:w="2500"/>
        <w:gridCol w:w="5026"/>
      </w:tblGrid>
      <w:tr>
        <w:tc>
          <w:tcPr>
            <w:tcW w:type="dxa" w:w="15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Date</w:t>
            </w:r>
          </w:p>
        </w:tc>
        <w:tc>
          <w:tcPr>
            <w:tcW w:type="dxa" w:w="25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Event</w:t>
            </w:r>
          </w:p>
        </w:tc>
        <w:tc>
          <w:tcPr>
            <w:tcW w:type="dxa" w:w="50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Detail &amp; SONG Impact</w:t>
            </w:r>
          </w:p>
        </w:tc>
      </w:tr>
      <w:tr>
        <w:tc>
          <w:tcPr>
            <w:tcW w:type="dxa" w:w="1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2031</w:t>
            </w:r>
          </w:p>
        </w:tc>
        <w:tc>
          <w:tcPr>
            <w:tcW w:type="dxa" w:w="2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Paris Climate Bond maturity</w:t>
            </w:r>
          </w:p>
        </w:tc>
        <w:tc>
          <w:tcPr>
            <w:tcW w:type="dxa" w:w="50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Climate bond matures May 2031. SONG Ground Debt positions as duration extension beyond 2031. Natural refinancing catalyst.</w:t>
            </w:r>
          </w:p>
        </w:tc>
      </w:tr>
      <w:tr>
        <w:tc>
          <w:tcPr>
            <w:tcW w:type="dxa" w:w="1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2026</w:t>
            </w:r>
          </w:p>
        </w:tc>
        <w:tc>
          <w:tcPr>
            <w:tcW w:type="dxa" w:w="2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Segat/GCCP partnership confirmed</w:t>
            </w:r>
          </w:p>
        </w:tc>
        <w:tc>
          <w:tcPr>
            <w:tcW w:type="dxa" w:w="50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Segat has direct mayoral relationship with Paris City Hall. Provides unique access route to Paris Habitat senior management.</w:t>
            </w:r>
          </w:p>
        </w:tc>
      </w:tr>
      <w:tr>
        <w:tc>
          <w:tcPr>
            <w:tcW w:type="dxa" w:w="1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2025</w:t>
            </w:r>
          </w:p>
        </w:tc>
        <w:tc>
          <w:tcPr>
            <w:tcW w:type="dxa" w:w="2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French social housing funding pressure</w:t>
            </w:r>
          </w:p>
        </w:tc>
        <w:tc>
          <w:tcPr>
            <w:tcW w:type="dxa" w:w="50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Public housing bodies face increasing capital needs for renovation and new construction. BPA institutional capital fills gap.</w:t>
            </w:r>
          </w:p>
        </w:tc>
      </w:tr>
      <w:tr>
        <w:tc>
          <w:tcPr>
            <w:tcW w:type="dxa" w:w="1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Ongoing</w:t>
            </w:r>
          </w:p>
        </w:tc>
        <w:tc>
          <w:tcPr>
            <w:tcW w:type="dxa" w:w="2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Paris land values at historic levels</w:t>
            </w:r>
          </w:p>
        </w:tc>
        <w:tc>
          <w:tcPr>
            <w:tcW w:type="dxa" w:w="50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Paris residential land EUR 10,000-30,000/sqm. Ground Debt collateral quality exceptional.</w:t>
            </w:r>
          </w:p>
        </w:tc>
      </w:tr>
    </w:tbl>
    <w:p>
      <w:r>
        <w:rPr>
          <w:rFonts w:ascii="Arial" w:cs="Arial" w:eastAsia="Arial" w:hAnsi="Arial"/>
          <w:sz w:val="20"/>
          <w:szCs w:val="20"/>
        </w:rPr>
        <w:t xml:space="preserve"/>
      </w:r>
    </w:p>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2. SONG Scoring Analysis</w:t>
            </w:r>
          </w:p>
        </w:tc>
      </w:tr>
    </w:tbl>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000"/>
        <w:gridCol w:w="1200"/>
        <w:gridCol w:w="1200"/>
        <w:gridCol w:w="3626"/>
      </w:tblGrid>
      <w:tr>
        <w:tc>
          <w:tcPr>
            <w:tcW w:type="dxa" w:w="30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Factor</w:t>
            </w:r>
          </w:p>
        </w:tc>
        <w:tc>
          <w:tcPr>
            <w:tcW w:type="dxa" w:w="12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Weight</w:t>
            </w:r>
          </w:p>
        </w:tc>
        <w:tc>
          <w:tcPr>
            <w:tcW w:type="dxa" w:w="12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Score (0-10)</w:t>
            </w:r>
          </w:p>
        </w:tc>
        <w:tc>
          <w:tcPr>
            <w:tcW w:type="dxa" w:w="36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Rationale</w:t>
            </w:r>
          </w:p>
        </w:tc>
      </w:tr>
      <w:tr>
        <w:tc>
          <w:tcPr>
            <w:tcW w:type="dxa" w:w="3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Rate Type</w:t>
            </w:r>
          </w:p>
        </w:tc>
        <w:tc>
          <w:tcPr>
            <w:tcW w:type="dxa" w:w="1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15%</w:t>
            </w:r>
          </w:p>
        </w:tc>
        <w:tc>
          <w:tcPr>
            <w:tcW w:type="dxa" w:w="1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8.0</w:t>
            </w:r>
          </w:p>
        </w:tc>
        <w:tc>
          <w:tcPr>
            <w:tcW w:type="dxa" w:w="36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EUR fixed uplifts via bail emphyteotique. Ground Debt product inherently fixed.</w:t>
            </w:r>
          </w:p>
        </w:tc>
      </w:tr>
      <w:tr>
        <w:tc>
          <w:tcPr>
            <w:tcW w:type="dxa" w:w="3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Facility Size</w:t>
            </w:r>
          </w:p>
        </w:tc>
        <w:tc>
          <w:tcPr>
            <w:tcW w:type="dxa" w:w="12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15%</w:t>
            </w:r>
          </w:p>
        </w:tc>
        <w:tc>
          <w:tcPr>
            <w:tcW w:type="dxa" w:w="12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8.0</w:t>
            </w:r>
          </w:p>
        </w:tc>
        <w:tc>
          <w:tcPr>
            <w:tcW w:type="dxa" w:w="36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EUR 200-400m — at or above EUR 200m minimum. Size depends on land pool selection.</w:t>
            </w:r>
          </w:p>
        </w:tc>
      </w:tr>
      <w:tr>
        <w:tc>
          <w:tcPr>
            <w:tcW w:type="dxa" w:w="3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Asset Quality</w:t>
            </w:r>
          </w:p>
        </w:tc>
        <w:tc>
          <w:tcPr>
            <w:tcW w:type="dxa" w:w="1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15%</w:t>
            </w:r>
          </w:p>
        </w:tc>
        <w:tc>
          <w:tcPr>
            <w:tcW w:type="dxa" w:w="1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9.0</w:t>
            </w:r>
          </w:p>
        </w:tc>
        <w:tc>
          <w:tcPr>
            <w:tcW w:type="dxa" w:w="36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Paris metro land — among most valuable in Europe. AA-equivalent municipal backing.</w:t>
            </w:r>
          </w:p>
        </w:tc>
      </w:tr>
      <w:tr>
        <w:tc>
          <w:tcPr>
            <w:tcW w:type="dxa" w:w="3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DSCR</w:t>
            </w:r>
          </w:p>
        </w:tc>
        <w:tc>
          <w:tcPr>
            <w:tcW w:type="dxa" w:w="12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10%</w:t>
            </w:r>
          </w:p>
        </w:tc>
        <w:tc>
          <w:tcPr>
            <w:tcW w:type="dxa" w:w="12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7.0</w:t>
            </w:r>
          </w:p>
        </w:tc>
        <w:tc>
          <w:tcPr>
            <w:tcW w:type="dxa" w:w="36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Social housing rent is government-set. Predictable but modest yield. DSCR adequate at facility level.</w:t>
            </w:r>
          </w:p>
        </w:tc>
      </w:tr>
      <w:tr>
        <w:tc>
          <w:tcPr>
            <w:tcW w:type="dxa" w:w="3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Timing</w:t>
            </w:r>
          </w:p>
        </w:tc>
        <w:tc>
          <w:tcPr>
            <w:tcW w:type="dxa" w:w="1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10%</w:t>
            </w:r>
          </w:p>
        </w:tc>
        <w:tc>
          <w:tcPr>
            <w:tcW w:type="dxa" w:w="1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6.0</w:t>
            </w:r>
          </w:p>
        </w:tc>
        <w:tc>
          <w:tcPr>
            <w:tcW w:type="dxa" w:w="36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No immediate maturity catalyst. Climate bond 2031 is 5yr away. Approach on capital needs basis.</w:t>
            </w:r>
          </w:p>
        </w:tc>
      </w:tr>
      <w:tr>
        <w:tc>
          <w:tcPr>
            <w:tcW w:type="dxa" w:w="3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BPA Fit</w:t>
            </w:r>
          </w:p>
        </w:tc>
        <w:tc>
          <w:tcPr>
            <w:tcW w:type="dxa" w:w="12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15%</w:t>
            </w:r>
          </w:p>
        </w:tc>
        <w:tc>
          <w:tcPr>
            <w:tcW w:type="dxa" w:w="12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9.0</w:t>
            </w:r>
          </w:p>
        </w:tc>
        <w:tc>
          <w:tcPr>
            <w:tcW w:type="dxa" w:w="36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City of Paris public body = maximum BPA confidence. Quasi-sovereign credit. Essential housing.</w:t>
            </w:r>
          </w:p>
        </w:tc>
      </w:tr>
      <w:tr>
        <w:tc>
          <w:tcPr>
            <w:tcW w:type="dxa" w:w="3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Contact Quality</w:t>
            </w:r>
          </w:p>
        </w:tc>
        <w:tc>
          <w:tcPr>
            <w:tcW w:type="dxa" w:w="1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5%</w:t>
            </w:r>
          </w:p>
        </w:tc>
        <w:tc>
          <w:tcPr>
            <w:tcW w:type="dxa" w:w="1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8.0</w:t>
            </w:r>
          </w:p>
        </w:tc>
        <w:tc>
          <w:tcPr>
            <w:tcW w:type="dxa" w:w="36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Segat has direct mayoral relationship. Pascal Claude (Finance Director) identified. HIGH confidence.</w:t>
            </w:r>
          </w:p>
        </w:tc>
      </w:tr>
      <w:tr>
        <w:tc>
          <w:tcPr>
            <w:tcW w:type="dxa" w:w="3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LTV</w:t>
            </w:r>
          </w:p>
        </w:tc>
        <w:tc>
          <w:tcPr>
            <w:tcW w:type="dxa" w:w="12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5%</w:t>
            </w:r>
          </w:p>
        </w:tc>
        <w:tc>
          <w:tcPr>
            <w:tcW w:type="dxa" w:w="12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7.0</w:t>
            </w:r>
          </w:p>
        </w:tc>
        <w:tc>
          <w:tcPr>
            <w:tcW w:type="dxa" w:w="36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60-70% PRS benchmark. Paris land values provide exceptional collateral coverage.</w:t>
            </w:r>
          </w:p>
        </w:tc>
      </w:tr>
      <w:tr>
        <w:tc>
          <w:tcPr>
            <w:tcW w:type="dxa" w:w="3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Competitive Positioning</w:t>
            </w:r>
          </w:p>
        </w:tc>
        <w:tc>
          <w:tcPr>
            <w:tcW w:type="dxa" w:w="1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5%</w:t>
            </w:r>
          </w:p>
        </w:tc>
        <w:tc>
          <w:tcPr>
            <w:tcW w:type="dxa" w:w="1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6.0</w:t>
            </w:r>
          </w:p>
        </w:tc>
        <w:tc>
          <w:tcPr>
            <w:tcW w:type="dxa" w:w="36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Public body may require tender process (appel d'offres). Not insurmountable but adds process.</w:t>
            </w:r>
          </w:p>
        </w:tc>
      </w:tr>
      <w:tr>
        <w:tc>
          <w:tcPr>
            <w:tcW w:type="dxa" w:w="3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GCCP Relationship</w:t>
            </w:r>
          </w:p>
        </w:tc>
        <w:tc>
          <w:tcPr>
            <w:tcW w:type="dxa" w:w="12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5%</w:t>
            </w:r>
          </w:p>
        </w:tc>
        <w:tc>
          <w:tcPr>
            <w:tcW w:type="dxa" w:w="12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7.0</w:t>
            </w:r>
          </w:p>
        </w:tc>
        <w:tc>
          <w:tcPr>
            <w:tcW w:type="dxa" w:w="36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Via Segat/Yannick. Mayoral relationship is direct and warm. Not a cold approach.</w:t>
            </w:r>
          </w:p>
        </w:tc>
      </w:tr>
      <w:tr>
        <w:tc>
          <w:tcPr>
            <w:tcW w:type="dxa" w:w="30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pPr>
              <w:jc w:val="left"/>
            </w:pPr>
            <w:r>
              <w:rPr>
                <w:rFonts w:ascii="Arial" w:cs="Arial" w:eastAsia="Arial" w:hAnsi="Arial"/>
                <w:b/>
                <w:bCs/>
                <w:color w:val="FFFFFF"/>
                <w:sz w:val="18"/>
                <w:szCs w:val="18"/>
              </w:rPr>
              <w:t xml:space="preserve">WEIGHTED TOTAL</w:t>
            </w:r>
          </w:p>
        </w:tc>
        <w:tc>
          <w:tcPr>
            <w:tcW w:type="dxa" w:w="12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pPr>
              <w:jc w:val="center"/>
            </w:pPr>
            <w:r>
              <w:rPr>
                <w:rFonts w:ascii="Arial" w:cs="Arial" w:eastAsia="Arial" w:hAnsi="Arial"/>
                <w:b/>
                <w:bCs/>
                <w:color w:val="FFFFFF"/>
                <w:sz w:val="18"/>
                <w:szCs w:val="18"/>
              </w:rPr>
              <w:t xml:space="preserve">100%</w:t>
            </w:r>
          </w:p>
        </w:tc>
        <w:tc>
          <w:tcPr>
            <w:tcW w:type="dxa" w:w="12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pPr>
              <w:jc w:val="center"/>
            </w:pPr>
            <w:r>
              <w:rPr>
                <w:rFonts w:ascii="Arial" w:cs="Arial" w:eastAsia="Arial" w:hAnsi="Arial"/>
                <w:b/>
                <w:bCs/>
                <w:color w:val="FFFFFF"/>
                <w:sz w:val="18"/>
                <w:szCs w:val="18"/>
              </w:rPr>
              <w:t xml:space="preserve">7.60</w:t>
            </w:r>
          </w:p>
        </w:tc>
        <w:tc>
          <w:tcPr>
            <w:tcW w:type="dxa" w:w="36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pPr>
              <w:jc w:val="left"/>
            </w:pPr>
            <w:r>
              <w:rPr>
                <w:rFonts w:ascii="Arial" w:cs="Arial" w:eastAsia="Arial" w:hAnsi="Arial"/>
                <w:b/>
                <w:bCs/>
                <w:color w:val="FFFFFF"/>
                <w:sz w:val="18"/>
                <w:szCs w:val="18"/>
              </w:rPr>
              <w:t xml:space="preserve">GO NOW</w:t>
            </w:r>
          </w:p>
        </w:tc>
      </w:tr>
    </w:tbl>
    <w:p>
      <w:r>
        <w:rPr>
          <w:rFonts w:ascii="Arial" w:cs="Arial" w:eastAsia="Arial" w:hAnsi="Arial"/>
          <w:sz w:val="20"/>
          <w:szCs w:val="20"/>
        </w:rPr>
        <w:t xml:space="preserve"/>
      </w:r>
    </w:p>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3. Debt Structure — Full Facility Stack</w:t>
            </w:r>
          </w:p>
        </w:tc>
      </w:tr>
    </w:tbl>
    <w:p>
      <w:r>
        <w:rPr>
          <w:rFonts w:ascii="Arial" w:cs="Arial" w:eastAsia="Arial" w:hAnsi="Arial"/>
          <w:sz w:val="20"/>
          <w:szCs w:val="20"/>
        </w:rPr>
        <w:t xml:space="preserve"/>
      </w:r>
    </w:p>
    <w:p>
      <w:r>
        <w:rPr>
          <w:rFonts w:ascii="Arial" w:cs="Arial" w:eastAsia="Arial" w:hAnsi="Arial"/>
          <w:b w:val="false"/>
          <w:bCs w:val="false"/>
          <w:sz w:val="20"/>
          <w:szCs w:val="20"/>
        </w:rPr>
        <w:t xml:space="preserve">Paris Habitat operates with an externally funded debt model (unlike CDC-backed entities). The outstanding Paris Climate Bond (May 2031) confirms institutional debt capacity. A SONG Ground Debt facility of EUR 200-400m via bail emphyteotique would monetise a fraction of Paris Habitat's extraordinary land portfolio — premium Paris and Ile-de-France locations valued at EUR 10,000-30,000/sqm — without asset disposal.</w:t>
      </w:r>
    </w:p>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0"/>
        <w:gridCol w:w="1400"/>
        <w:gridCol w:w="1200"/>
        <w:gridCol w:w="1000"/>
        <w:gridCol w:w="2000"/>
        <w:gridCol w:w="1426"/>
      </w:tblGrid>
      <w:tr>
        <w:tc>
          <w:tcPr>
            <w:tcW w:type="dxa" w:w="20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Facility</w:t>
            </w:r>
          </w:p>
        </w:tc>
        <w:tc>
          <w:tcPr>
            <w:tcW w:type="dxa" w:w="14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Maturity</w:t>
            </w:r>
          </w:p>
        </w:tc>
        <w:tc>
          <w:tcPr>
            <w:tcW w:type="dxa" w:w="12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Rate Type</w:t>
            </w:r>
          </w:p>
        </w:tc>
        <w:tc>
          <w:tcPr>
            <w:tcW w:type="dxa" w:w="10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Rate</w:t>
            </w:r>
          </w:p>
        </w:tc>
        <w:tc>
          <w:tcPr>
            <w:tcW w:type="dxa" w:w="20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Lenders</w:t>
            </w:r>
          </w:p>
        </w:tc>
        <w:tc>
          <w:tcPr>
            <w:tcW w:type="dxa" w:w="14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SONG Priority</w:t>
            </w:r>
          </w:p>
        </w:tc>
      </w:tr>
      <w:tr>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Paris Climate Bond</w:t>
            </w:r>
          </w:p>
        </w:tc>
        <w:tc>
          <w:tcPr>
            <w:tcW w:type="dxa" w:w="14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May 2031</w:t>
            </w:r>
          </w:p>
        </w:tc>
        <w:tc>
          <w:tcPr>
            <w:tcW w:type="dxa" w:w="1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Fixed</w:t>
            </w:r>
          </w:p>
        </w:tc>
        <w:tc>
          <w:tcPr>
            <w:tcW w:type="dxa" w:w="1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N/A</w:t>
            </w:r>
          </w:p>
        </w:tc>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Public bond market</w:t>
            </w:r>
          </w:p>
        </w:tc>
        <w:tc>
          <w:tcPr>
            <w:tcW w:type="dxa" w:w="14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MONITOR</w:t>
            </w:r>
          </w:p>
        </w:tc>
      </w:tr>
      <w:tr>
        <w:tc>
          <w:tcPr>
            <w:tcW w:type="dxa" w:w="2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EMTN Programme (if any)</w:t>
            </w:r>
          </w:p>
        </w:tc>
        <w:tc>
          <w:tcPr>
            <w:tcW w:type="dxa" w:w="14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TBC</w:t>
            </w:r>
          </w:p>
        </w:tc>
        <w:tc>
          <w:tcPr>
            <w:tcW w:type="dxa" w:w="12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TBC</w:t>
            </w:r>
          </w:p>
        </w:tc>
        <w:tc>
          <w:tcPr>
            <w:tcW w:type="dxa" w:w="1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N/A</w:t>
            </w:r>
          </w:p>
        </w:tc>
        <w:tc>
          <w:tcPr>
            <w:tcW w:type="dxa" w:w="2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TBC — research required</w:t>
            </w:r>
          </w:p>
        </w:tc>
        <w:tc>
          <w:tcPr>
            <w:tcW w:type="dxa" w:w="14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MONITOR</w:t>
            </w:r>
          </w:p>
        </w:tc>
      </w:tr>
      <w:tr>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SONG Ground Debt (proposed)</w:t>
            </w:r>
          </w:p>
        </w:tc>
        <w:tc>
          <w:tcPr>
            <w:tcW w:type="dxa" w:w="14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30-55yr</w:t>
            </w:r>
          </w:p>
        </w:tc>
        <w:tc>
          <w:tcPr>
            <w:tcW w:type="dxa" w:w="1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Fixed uplifts</w:t>
            </w:r>
          </w:p>
        </w:tc>
        <w:tc>
          <w:tcPr>
            <w:tcW w:type="dxa" w:w="1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1.5-2.5%/yr</w:t>
            </w:r>
          </w:p>
        </w:tc>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SONG Capital / BPA syndicate</w:t>
            </w:r>
          </w:p>
        </w:tc>
        <w:tc>
          <w:tcPr>
            <w:tcW w:type="dxa" w:w="14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TARGET</w:t>
            </w:r>
          </w:p>
        </w:tc>
      </w:tr>
    </w:tbl>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500"/>
        <w:gridCol w:w="5526"/>
      </w:tblGrid>
      <w:tr>
        <w:tc>
          <w:tcPr>
            <w:tcW w:type="dxa" w:w="35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Target Facility Detail</w:t>
            </w:r>
          </w:p>
        </w:tc>
        <w:tc>
          <w:tcPr>
            <w:tcW w:type="dxa" w:w="55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Value</w:t>
            </w:r>
          </w:p>
        </w:tc>
      </w:tr>
      <w:tr>
        <w:tc>
          <w:tcPr>
            <w:tcW w:type="dxa" w:w="3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Facility Size</w:t>
            </w:r>
          </w:p>
        </w:tc>
        <w:tc>
          <w:tcPr>
            <w:tcW w:type="dxa" w:w="55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EUR 200-400m</w:t>
            </w:r>
          </w:p>
        </w:tc>
      </w:tr>
      <w:tr>
        <w:tc>
          <w:tcPr>
            <w:tcW w:type="dxa" w:w="3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Net Refinancing Need</w:t>
            </w:r>
          </w:p>
        </w:tc>
        <w:tc>
          <w:tcPr>
            <w:tcW w:type="dxa" w:w="55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Not a refinancing — new capital for land monetisation and housing programme</w:t>
            </w:r>
          </w:p>
        </w:tc>
      </w:tr>
      <w:tr>
        <w:tc>
          <w:tcPr>
            <w:tcW w:type="dxa" w:w="3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Maturity</w:t>
            </w:r>
          </w:p>
        </w:tc>
        <w:tc>
          <w:tcPr>
            <w:tcW w:type="dxa" w:w="55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Climate bond: May 2031. SONG: new 30-55yr facility</w:t>
            </w:r>
          </w:p>
        </w:tc>
      </w:tr>
      <w:tr>
        <w:tc>
          <w:tcPr>
            <w:tcW w:type="dxa" w:w="3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Current Rate</w:t>
            </w:r>
          </w:p>
        </w:tc>
        <w:tc>
          <w:tcPr>
            <w:tcW w:type="dxa" w:w="55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Climate bond rate NOT FOUND</w:t>
            </w:r>
          </w:p>
        </w:tc>
      </w:tr>
      <w:tr>
        <w:tc>
          <w:tcPr>
            <w:tcW w:type="dxa" w:w="3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Management Assumption</w:t>
            </w:r>
          </w:p>
        </w:tc>
        <w:tc>
          <w:tcPr>
            <w:tcW w:type="dxa" w:w="55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New capital deployment for renovation and new social housing construction</w:t>
            </w:r>
          </w:p>
        </w:tc>
      </w:tr>
      <w:tr>
        <w:tc>
          <w:tcPr>
            <w:tcW w:type="dxa" w:w="3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SONG Target Rate</w:t>
            </w:r>
          </w:p>
        </w:tc>
        <w:tc>
          <w:tcPr>
            <w:tcW w:type="dxa" w:w="55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Fixed uplifts 1.5-2.5%/yr (Ground Debt — no coupon rate, annual ground rent)</w:t>
            </w:r>
          </w:p>
        </w:tc>
      </w:tr>
      <w:tr>
        <w:tc>
          <w:tcPr>
            <w:tcW w:type="dxa" w:w="3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NAV Accretion</w:t>
            </w:r>
          </w:p>
        </w:tc>
        <w:tc>
          <w:tcPr>
            <w:tcW w:type="dxa" w:w="55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Land monetisation without disposal — capital unlocked, asset retained</w:t>
            </w:r>
          </w:p>
        </w:tc>
      </w:tr>
      <w:tr>
        <w:tc>
          <w:tcPr>
            <w:tcW w:type="dxa" w:w="3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Tenor Comparison</w:t>
            </w:r>
          </w:p>
        </w:tc>
        <w:tc>
          <w:tcPr>
            <w:tcW w:type="dxa" w:w="55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Climate bond: ~6yr remaining | SONG Ground Debt: 30-55yr</w:t>
            </w:r>
          </w:p>
        </w:tc>
      </w:tr>
      <w:tr>
        <w:tc>
          <w:tcPr>
            <w:tcW w:type="dxa" w:w="3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USP</w:t>
            </w:r>
          </w:p>
        </w:tc>
        <w:tc>
          <w:tcPr>
            <w:tcW w:type="dxa" w:w="55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Only institutional product that monetises public housing land without sale</w:t>
            </w:r>
          </w:p>
        </w:tc>
      </w:tr>
      <w:tr>
        <w:tc>
          <w:tcPr>
            <w:tcW w:type="dxa" w:w="3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Refi Status</w:t>
            </w:r>
          </w:p>
        </w:tc>
        <w:tc>
          <w:tcPr>
            <w:tcW w:type="dxa" w:w="55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Not applicable — new facility, not refinancing</w:t>
            </w:r>
          </w:p>
        </w:tc>
      </w:tr>
      <w:tr>
        <w:tc>
          <w:tcPr>
            <w:tcW w:type="dxa" w:w="3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Competitive Conflicts</w:t>
            </w:r>
          </w:p>
        </w:tc>
        <w:tc>
          <w:tcPr>
            <w:tcW w:type="dxa" w:w="55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No known BPA insurer active in French social housing Ground Debt</w:t>
            </w:r>
          </w:p>
        </w:tc>
      </w:tr>
    </w:tbl>
    <w:p>
      <w:r>
        <w:rPr>
          <w:rFonts w:ascii="Arial" w:cs="Arial" w:eastAsia="Arial" w:hAnsi="Arial"/>
          <w:sz w:val="20"/>
          <w:szCs w:val="20"/>
        </w:rPr>
        <w:t xml:space="preserve"/>
      </w:r>
    </w:p>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4. DSCR Analysis &amp; Asset Pool</w:t>
            </w:r>
          </w:p>
        </w:tc>
      </w:tr>
    </w:tbl>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600"/>
        <w:gridCol w:w="1200"/>
        <w:gridCol w:w="1200"/>
        <w:gridCol w:w="1200"/>
        <w:gridCol w:w="1276"/>
        <w:gridCol w:w="1276"/>
        <w:gridCol w:w="1274"/>
      </w:tblGrid>
      <w:tr>
        <w:tc>
          <w:tcPr>
            <w:tcW w:type="dxa" w:w="16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Scenario</w:t>
            </w:r>
          </w:p>
        </w:tc>
        <w:tc>
          <w:tcPr>
            <w:tcW w:type="dxa" w:w="12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Income (EURm)</w:t>
            </w:r>
          </w:p>
        </w:tc>
        <w:tc>
          <w:tcPr>
            <w:tcW w:type="dxa" w:w="12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OpEx (EURm)</w:t>
            </w:r>
          </w:p>
        </w:tc>
        <w:tc>
          <w:tcPr>
            <w:tcW w:type="dxa" w:w="12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EBITDA</w:t>
            </w:r>
          </w:p>
        </w:tc>
        <w:tc>
          <w:tcPr>
            <w:tcW w:type="dxa" w:w="127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DSCR @ 200m</w:t>
            </w:r>
          </w:p>
        </w:tc>
        <w:tc>
          <w:tcPr>
            <w:tcW w:type="dxa" w:w="127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DSCR @ 250m</w:t>
            </w:r>
          </w:p>
        </w:tc>
        <w:tc>
          <w:tcPr>
            <w:tcW w:type="dxa" w:w="1274"/>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DSCR @ 300m</w:t>
            </w:r>
          </w:p>
        </w:tc>
      </w:tr>
      <w:tr>
        <w:tc>
          <w:tcPr>
            <w:tcW w:type="dxa" w:w="16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Base Case</w:t>
            </w:r>
          </w:p>
        </w:tc>
        <w:tc>
          <w:tcPr>
            <w:tcW w:type="dxa" w:w="1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right"/>
            </w:pPr>
            <w:r>
              <w:rPr>
                <w:rFonts w:ascii="Arial" w:cs="Arial" w:eastAsia="Arial" w:hAnsi="Arial"/>
                <w:b w:val="false"/>
                <w:bCs w:val="false"/>
                <w:color w:val="000000"/>
                <w:sz w:val="18"/>
                <w:szCs w:val="18"/>
              </w:rPr>
              <w:t xml:space="preserve">TBC</w:t>
            </w:r>
          </w:p>
        </w:tc>
        <w:tc>
          <w:tcPr>
            <w:tcW w:type="dxa" w:w="1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right"/>
            </w:pPr>
            <w:r>
              <w:rPr>
                <w:rFonts w:ascii="Arial" w:cs="Arial" w:eastAsia="Arial" w:hAnsi="Arial"/>
                <w:b w:val="false"/>
                <w:bCs w:val="false"/>
                <w:color w:val="000000"/>
                <w:sz w:val="18"/>
                <w:szCs w:val="18"/>
              </w:rPr>
              <w:t xml:space="preserve">TBC</w:t>
            </w:r>
          </w:p>
        </w:tc>
        <w:tc>
          <w:tcPr>
            <w:tcW w:type="dxa" w:w="1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right"/>
            </w:pPr>
            <w:r>
              <w:rPr>
                <w:rFonts w:ascii="Arial" w:cs="Arial" w:eastAsia="Arial" w:hAnsi="Arial"/>
                <w:b w:val="false"/>
                <w:bCs w:val="false"/>
                <w:color w:val="000000"/>
                <w:sz w:val="18"/>
                <w:szCs w:val="18"/>
              </w:rPr>
              <w:t xml:space="preserve">TBC</w:t>
            </w:r>
          </w:p>
        </w:tc>
        <w:tc>
          <w:tcPr>
            <w:tcW w:type="dxa" w:w="127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bCs/>
                <w:color w:val="000000"/>
                <w:sz w:val="18"/>
                <w:szCs w:val="18"/>
              </w:rPr>
              <w:t xml:space="preserve">TBC</w:t>
            </w:r>
          </w:p>
        </w:tc>
        <w:tc>
          <w:tcPr>
            <w:tcW w:type="dxa" w:w="127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bCs/>
                <w:color w:val="000000"/>
                <w:sz w:val="18"/>
                <w:szCs w:val="18"/>
              </w:rPr>
              <w:t xml:space="preserve">TBC</w:t>
            </w:r>
          </w:p>
        </w:tc>
        <w:tc>
          <w:tcPr>
            <w:tcW w:type="dxa" w:w="1274"/>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bCs/>
                <w:color w:val="000000"/>
                <w:sz w:val="18"/>
                <w:szCs w:val="18"/>
              </w:rPr>
              <w:t xml:space="preserve">TBC</w:t>
            </w:r>
          </w:p>
        </w:tc>
      </w:tr>
      <w:tr>
        <w:tc>
          <w:tcPr>
            <w:tcW w:type="dxa" w:w="16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Budget</w:t>
            </w:r>
          </w:p>
        </w:tc>
        <w:tc>
          <w:tcPr>
            <w:tcW w:type="dxa" w:w="12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right"/>
            </w:pPr>
            <w:r>
              <w:rPr>
                <w:rFonts w:ascii="Arial" w:cs="Arial" w:eastAsia="Arial" w:hAnsi="Arial"/>
                <w:b w:val="false"/>
                <w:bCs w:val="false"/>
                <w:color w:val="000000"/>
                <w:sz w:val="18"/>
                <w:szCs w:val="18"/>
              </w:rPr>
              <w:t xml:space="preserve">TBC</w:t>
            </w:r>
          </w:p>
        </w:tc>
        <w:tc>
          <w:tcPr>
            <w:tcW w:type="dxa" w:w="12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right"/>
            </w:pPr>
            <w:r>
              <w:rPr>
                <w:rFonts w:ascii="Arial" w:cs="Arial" w:eastAsia="Arial" w:hAnsi="Arial"/>
                <w:b w:val="false"/>
                <w:bCs w:val="false"/>
                <w:color w:val="000000"/>
                <w:sz w:val="18"/>
                <w:szCs w:val="18"/>
              </w:rPr>
              <w:t xml:space="preserve">TBC</w:t>
            </w:r>
          </w:p>
        </w:tc>
        <w:tc>
          <w:tcPr>
            <w:tcW w:type="dxa" w:w="12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right"/>
            </w:pPr>
            <w:r>
              <w:rPr>
                <w:rFonts w:ascii="Arial" w:cs="Arial" w:eastAsia="Arial" w:hAnsi="Arial"/>
                <w:b w:val="false"/>
                <w:bCs w:val="false"/>
                <w:color w:val="000000"/>
                <w:sz w:val="18"/>
                <w:szCs w:val="18"/>
              </w:rPr>
              <w:t xml:space="preserve">TBC</w:t>
            </w:r>
          </w:p>
        </w:tc>
        <w:tc>
          <w:tcPr>
            <w:tcW w:type="dxa" w:w="127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bCs/>
                <w:color w:val="000000"/>
                <w:sz w:val="18"/>
                <w:szCs w:val="18"/>
              </w:rPr>
              <w:t xml:space="preserve">TBC</w:t>
            </w:r>
          </w:p>
        </w:tc>
        <w:tc>
          <w:tcPr>
            <w:tcW w:type="dxa" w:w="127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bCs/>
                <w:color w:val="000000"/>
                <w:sz w:val="18"/>
                <w:szCs w:val="18"/>
              </w:rPr>
              <w:t xml:space="preserve">TBC</w:t>
            </w:r>
          </w:p>
        </w:tc>
        <w:tc>
          <w:tcPr>
            <w:tcW w:type="dxa" w:w="1274"/>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bCs/>
                <w:color w:val="000000"/>
                <w:sz w:val="18"/>
                <w:szCs w:val="18"/>
              </w:rPr>
              <w:t xml:space="preserve">TBC</w:t>
            </w:r>
          </w:p>
        </w:tc>
      </w:tr>
      <w:tr>
        <w:tc>
          <w:tcPr>
            <w:tcW w:type="dxa" w:w="16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Downside</w:t>
            </w:r>
          </w:p>
        </w:tc>
        <w:tc>
          <w:tcPr>
            <w:tcW w:type="dxa" w:w="1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right"/>
            </w:pPr>
            <w:r>
              <w:rPr>
                <w:rFonts w:ascii="Arial" w:cs="Arial" w:eastAsia="Arial" w:hAnsi="Arial"/>
                <w:b w:val="false"/>
                <w:bCs w:val="false"/>
                <w:color w:val="000000"/>
                <w:sz w:val="18"/>
                <w:szCs w:val="18"/>
              </w:rPr>
              <w:t xml:space="preserve">TBC</w:t>
            </w:r>
          </w:p>
        </w:tc>
        <w:tc>
          <w:tcPr>
            <w:tcW w:type="dxa" w:w="1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right"/>
            </w:pPr>
            <w:r>
              <w:rPr>
                <w:rFonts w:ascii="Arial" w:cs="Arial" w:eastAsia="Arial" w:hAnsi="Arial"/>
                <w:b w:val="false"/>
                <w:bCs w:val="false"/>
                <w:color w:val="000000"/>
                <w:sz w:val="18"/>
                <w:szCs w:val="18"/>
              </w:rPr>
              <w:t xml:space="preserve">TBC</w:t>
            </w:r>
          </w:p>
        </w:tc>
        <w:tc>
          <w:tcPr>
            <w:tcW w:type="dxa" w:w="1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right"/>
            </w:pPr>
            <w:r>
              <w:rPr>
                <w:rFonts w:ascii="Arial" w:cs="Arial" w:eastAsia="Arial" w:hAnsi="Arial"/>
                <w:b w:val="false"/>
                <w:bCs w:val="false"/>
                <w:color w:val="000000"/>
                <w:sz w:val="18"/>
                <w:szCs w:val="18"/>
              </w:rPr>
              <w:t xml:space="preserve">TBC</w:t>
            </w:r>
          </w:p>
        </w:tc>
        <w:tc>
          <w:tcPr>
            <w:tcW w:type="dxa" w:w="127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bCs/>
                <w:color w:val="000000"/>
                <w:sz w:val="18"/>
                <w:szCs w:val="18"/>
              </w:rPr>
              <w:t xml:space="preserve">TBC</w:t>
            </w:r>
          </w:p>
        </w:tc>
        <w:tc>
          <w:tcPr>
            <w:tcW w:type="dxa" w:w="127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bCs/>
                <w:color w:val="000000"/>
                <w:sz w:val="18"/>
                <w:szCs w:val="18"/>
              </w:rPr>
              <w:t xml:space="preserve">TBC</w:t>
            </w:r>
          </w:p>
        </w:tc>
        <w:tc>
          <w:tcPr>
            <w:tcW w:type="dxa" w:w="1274"/>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bCs/>
                <w:color w:val="000000"/>
                <w:sz w:val="18"/>
                <w:szCs w:val="18"/>
              </w:rPr>
              <w:t xml:space="preserve">TBC</w:t>
            </w:r>
          </w:p>
        </w:tc>
      </w:tr>
      <w:tr>
        <w:tc>
          <w:tcPr>
            <w:tcW w:type="dxa" w:w="16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Severe Stress</w:t>
            </w:r>
          </w:p>
        </w:tc>
        <w:tc>
          <w:tcPr>
            <w:tcW w:type="dxa" w:w="12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right"/>
            </w:pPr>
            <w:r>
              <w:rPr>
                <w:rFonts w:ascii="Arial" w:cs="Arial" w:eastAsia="Arial" w:hAnsi="Arial"/>
                <w:b w:val="false"/>
                <w:bCs w:val="false"/>
                <w:color w:val="000000"/>
                <w:sz w:val="18"/>
                <w:szCs w:val="18"/>
              </w:rPr>
              <w:t xml:space="preserve">TBC</w:t>
            </w:r>
          </w:p>
        </w:tc>
        <w:tc>
          <w:tcPr>
            <w:tcW w:type="dxa" w:w="12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right"/>
            </w:pPr>
            <w:r>
              <w:rPr>
                <w:rFonts w:ascii="Arial" w:cs="Arial" w:eastAsia="Arial" w:hAnsi="Arial"/>
                <w:b w:val="false"/>
                <w:bCs w:val="false"/>
                <w:color w:val="000000"/>
                <w:sz w:val="18"/>
                <w:szCs w:val="18"/>
              </w:rPr>
              <w:t xml:space="preserve">TBC</w:t>
            </w:r>
          </w:p>
        </w:tc>
        <w:tc>
          <w:tcPr>
            <w:tcW w:type="dxa" w:w="12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right"/>
            </w:pPr>
            <w:r>
              <w:rPr>
                <w:rFonts w:ascii="Arial" w:cs="Arial" w:eastAsia="Arial" w:hAnsi="Arial"/>
                <w:b w:val="false"/>
                <w:bCs w:val="false"/>
                <w:color w:val="000000"/>
                <w:sz w:val="18"/>
                <w:szCs w:val="18"/>
              </w:rPr>
              <w:t xml:space="preserve">TBC</w:t>
            </w:r>
          </w:p>
        </w:tc>
        <w:tc>
          <w:tcPr>
            <w:tcW w:type="dxa" w:w="127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bCs/>
                <w:color w:val="000000"/>
                <w:sz w:val="18"/>
                <w:szCs w:val="18"/>
              </w:rPr>
              <w:t xml:space="preserve">TBC</w:t>
            </w:r>
          </w:p>
        </w:tc>
        <w:tc>
          <w:tcPr>
            <w:tcW w:type="dxa" w:w="127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bCs/>
                <w:color w:val="000000"/>
                <w:sz w:val="18"/>
                <w:szCs w:val="18"/>
              </w:rPr>
              <w:t xml:space="preserve">TBC</w:t>
            </w:r>
          </w:p>
        </w:tc>
        <w:tc>
          <w:tcPr>
            <w:tcW w:type="dxa" w:w="1274"/>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bCs/>
                <w:color w:val="000000"/>
                <w:sz w:val="18"/>
                <w:szCs w:val="18"/>
              </w:rPr>
              <w:t xml:space="preserve">TBC</w:t>
            </w:r>
          </w:p>
        </w:tc>
      </w:tr>
    </w:tbl>
    <w:p>
      <w:r>
        <w:rPr>
          <w:rFonts w:ascii="Arial" w:cs="Arial" w:eastAsia="Arial" w:hAnsi="Arial"/>
          <w:sz w:val="20"/>
          <w:szCs w:val="20"/>
        </w:rPr>
        <w:t xml:space="preserve"/>
      </w:r>
    </w:p>
    <w:p>
      <w:r>
        <w:rPr>
          <w:rFonts w:ascii="Arial" w:cs="Arial" w:eastAsia="Arial" w:hAnsi="Arial"/>
          <w:b w:val="false"/>
          <w:bCs w:val="false"/>
          <w:sz w:val="20"/>
          <w:szCs w:val="20"/>
        </w:rPr>
        <w:t xml:space="preserve">DSCR analysis requires Paris Habitat financial data — not publicly available. Ground Debt has ZERO financial covenants. DSCR shown for BPA board comfort only. Government-set social rents provide structural income floor.</w:t>
      </w:r>
    </w:p>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0"/>
        <w:gridCol w:w="1500"/>
        <w:gridCol w:w="1500"/>
        <w:gridCol w:w="2000"/>
        <w:gridCol w:w="2026"/>
      </w:tblGrid>
      <w:tr>
        <w:tc>
          <w:tcPr>
            <w:tcW w:type="dxa" w:w="20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Asset</w:t>
            </w:r>
          </w:p>
        </w:tc>
        <w:tc>
          <w:tcPr>
            <w:tcW w:type="dxa" w:w="15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Capacity</w:t>
            </w:r>
          </w:p>
        </w:tc>
        <w:tc>
          <w:tcPr>
            <w:tcW w:type="dxa" w:w="15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Support Scheme</w:t>
            </w:r>
          </w:p>
        </w:tc>
        <w:tc>
          <w:tcPr>
            <w:tcW w:type="dxa" w:w="20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Counterparty</w:t>
            </w:r>
          </w:p>
        </w:tc>
        <w:tc>
          <w:tcPr>
            <w:tcW w:type="dxa" w:w="20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Pool Suitability</w:t>
            </w:r>
          </w:p>
        </w:tc>
      </w:tr>
      <w:tr>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Paris central arrondissements</w:t>
            </w:r>
          </w:p>
        </w:tc>
        <w:tc>
          <w:tcPr>
            <w:tcW w:type="dxa" w:w="1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~30,000 units [EST]</w:t>
            </w:r>
          </w:p>
        </w:tc>
        <w:tc>
          <w:tcPr>
            <w:tcW w:type="dxa" w:w="1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HLM social rent</w:t>
            </w:r>
          </w:p>
        </w:tc>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City of Paris tenants</w:t>
            </w:r>
          </w:p>
        </w:tc>
        <w:tc>
          <w:tcPr>
            <w:tcW w:type="dxa" w:w="20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Eligible — PREMIUM land</w:t>
            </w:r>
          </w:p>
        </w:tc>
      </w:tr>
      <w:tr>
        <w:tc>
          <w:tcPr>
            <w:tcW w:type="dxa" w:w="2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Inner suburbs (Ile-de-France)</w:t>
            </w:r>
          </w:p>
        </w:tc>
        <w:tc>
          <w:tcPr>
            <w:tcW w:type="dxa" w:w="1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~50,000 units [EST]</w:t>
            </w:r>
          </w:p>
        </w:tc>
        <w:tc>
          <w:tcPr>
            <w:tcW w:type="dxa" w:w="1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HLM social rent</w:t>
            </w:r>
          </w:p>
        </w:tc>
        <w:tc>
          <w:tcPr>
            <w:tcW w:type="dxa" w:w="2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City of Paris tenants</w:t>
            </w:r>
          </w:p>
        </w:tc>
        <w:tc>
          <w:tcPr>
            <w:tcW w:type="dxa" w:w="20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Eligible</w:t>
            </w:r>
          </w:p>
        </w:tc>
      </w:tr>
      <w:tr>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Outer suburbs</w:t>
            </w:r>
          </w:p>
        </w:tc>
        <w:tc>
          <w:tcPr>
            <w:tcW w:type="dxa" w:w="1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~48,000 units [EST]</w:t>
            </w:r>
          </w:p>
        </w:tc>
        <w:tc>
          <w:tcPr>
            <w:tcW w:type="dxa" w:w="1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HLM social rent</w:t>
            </w:r>
          </w:p>
        </w:tc>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City of Paris tenants</w:t>
            </w:r>
          </w:p>
        </w:tc>
        <w:tc>
          <w:tcPr>
            <w:tcW w:type="dxa" w:w="20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Eligible — lower land values</w:t>
            </w:r>
          </w:p>
        </w:tc>
      </w:tr>
      <w:tr>
        <w:tc>
          <w:tcPr>
            <w:tcW w:type="dxa" w:w="2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Land portfolio (bail emphyteotique)</w:t>
            </w:r>
          </w:p>
        </w:tc>
        <w:tc>
          <w:tcPr>
            <w:tcW w:type="dxa" w:w="1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TBC sqm</w:t>
            </w:r>
          </w:p>
        </w:tc>
        <w:tc>
          <w:tcPr>
            <w:tcW w:type="dxa" w:w="1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Ground Debt</w:t>
            </w:r>
          </w:p>
        </w:tc>
        <w:tc>
          <w:tcPr>
            <w:tcW w:type="dxa" w:w="2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Paris Habitat</w:t>
            </w:r>
          </w:p>
        </w:tc>
        <w:tc>
          <w:tcPr>
            <w:tcW w:type="dxa" w:w="20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Ground Debt target pool</w:t>
            </w:r>
          </w:p>
        </w:tc>
      </w:tr>
    </w:tbl>
    <w:p>
      <w:r>
        <w:rPr>
          <w:rFonts w:ascii="Arial" w:cs="Arial" w:eastAsia="Arial" w:hAnsi="Arial"/>
          <w:sz w:val="20"/>
          <w:szCs w:val="20"/>
        </w:rPr>
        <w:t xml:space="preserve"/>
      </w:r>
    </w:p>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5. SONG Credit Box Fit Assessment</w:t>
            </w:r>
          </w:p>
        </w:tc>
      </w:tr>
    </w:tbl>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000"/>
        <w:gridCol w:w="3000"/>
        <w:gridCol w:w="3026"/>
      </w:tblGrid>
      <w:tr>
        <w:tc>
          <w:tcPr>
            <w:tcW w:type="dxa" w:w="30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SONG Parameter</w:t>
            </w:r>
          </w:p>
        </w:tc>
        <w:tc>
          <w:tcPr>
            <w:tcW w:type="dxa" w:w="30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Requirement</w:t>
            </w:r>
          </w:p>
        </w:tc>
        <w:tc>
          <w:tcPr>
            <w:tcW w:type="dxa" w:w="30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Target Fit</w:t>
            </w:r>
          </w:p>
        </w:tc>
      </w:tr>
      <w:tr>
        <w:tc>
          <w:tcPr>
            <w:tcW w:type="dxa" w:w="3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Facility Size</w:t>
            </w:r>
          </w:p>
        </w:tc>
        <w:tc>
          <w:tcPr>
            <w:tcW w:type="dxa" w:w="3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EUR 200m minimum (EUR 100m GD)</w:t>
            </w:r>
          </w:p>
        </w:tc>
        <w:tc>
          <w:tcPr>
            <w:tcW w:type="dxa" w:w="30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EUR 200-400m — PASS</w:t>
            </w:r>
          </w:p>
        </w:tc>
      </w:tr>
      <w:tr>
        <w:tc>
          <w:tcPr>
            <w:tcW w:type="dxa" w:w="3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Rate Type</w:t>
            </w:r>
          </w:p>
        </w:tc>
        <w:tc>
          <w:tcPr>
            <w:tcW w:type="dxa" w:w="3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Fixed only</w:t>
            </w:r>
          </w:p>
        </w:tc>
        <w:tc>
          <w:tcPr>
            <w:tcW w:type="dxa" w:w="30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Fixed uplifts 1.5-2.5%/yr (Ground Debt) — PASS</w:t>
            </w:r>
          </w:p>
        </w:tc>
      </w:tr>
      <w:tr>
        <w:tc>
          <w:tcPr>
            <w:tcW w:type="dxa" w:w="3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Asset Quality</w:t>
            </w:r>
          </w:p>
        </w:tc>
        <w:tc>
          <w:tcPr>
            <w:tcW w:type="dxa" w:w="3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Investment grade / BPA</w:t>
            </w:r>
          </w:p>
        </w:tc>
        <w:tc>
          <w:tcPr>
            <w:tcW w:type="dxa" w:w="30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City of Paris AA-equivalent backing — PASS</w:t>
            </w:r>
          </w:p>
        </w:tc>
      </w:tr>
      <w:tr>
        <w:tc>
          <w:tcPr>
            <w:tcW w:type="dxa" w:w="3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LTV</w:t>
            </w:r>
          </w:p>
        </w:tc>
        <w:tc>
          <w:tcPr>
            <w:tcW w:type="dxa" w:w="3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60% (PRS benchmark)</w:t>
            </w:r>
          </w:p>
        </w:tc>
        <w:tc>
          <w:tcPr>
            <w:tcW w:type="dxa" w:w="30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60-70% of Paris land value — PASS</w:t>
            </w:r>
          </w:p>
        </w:tc>
      </w:tr>
      <w:tr>
        <w:tc>
          <w:tcPr>
            <w:tcW w:type="dxa" w:w="3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DSCR</w:t>
            </w:r>
          </w:p>
        </w:tc>
        <w:tc>
          <w:tcPr>
            <w:tcW w:type="dxa" w:w="3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1.4x cash trap / 1.3x default</w:t>
            </w:r>
          </w:p>
        </w:tc>
        <w:tc>
          <w:tcPr>
            <w:tcW w:type="dxa" w:w="30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TBC — Ground Debt has zero financial covenants</w:t>
            </w:r>
          </w:p>
        </w:tc>
      </w:tr>
      <w:tr>
        <w:tc>
          <w:tcPr>
            <w:tcW w:type="dxa" w:w="3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Tenor</w:t>
            </w:r>
          </w:p>
        </w:tc>
        <w:tc>
          <w:tcPr>
            <w:tcW w:type="dxa" w:w="3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30-55yr Ground Debt</w:t>
            </w:r>
          </w:p>
        </w:tc>
        <w:tc>
          <w:tcPr>
            <w:tcW w:type="dxa" w:w="30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30-55yr proposed — PASS</w:t>
            </w:r>
          </w:p>
        </w:tc>
      </w:tr>
      <w:tr>
        <w:tc>
          <w:tcPr>
            <w:tcW w:type="dxa" w:w="3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BPA Income Fit</w:t>
            </w:r>
          </w:p>
        </w:tc>
        <w:tc>
          <w:tcPr>
            <w:tcW w:type="dxa" w:w="3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Long-dated stable income</w:t>
            </w:r>
          </w:p>
        </w:tc>
        <w:tc>
          <w:tcPr>
            <w:tcW w:type="dxa" w:w="30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Government-set social rents; quasi-sovereign — PASS</w:t>
            </w:r>
          </w:p>
        </w:tc>
      </w:tr>
      <w:tr>
        <w:tc>
          <w:tcPr>
            <w:tcW w:type="dxa" w:w="3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Covenant</w:t>
            </w:r>
          </w:p>
        </w:tc>
        <w:tc>
          <w:tcPr>
            <w:tcW w:type="dxa" w:w="3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Zero (Ground Debt product)</w:t>
            </w:r>
          </w:p>
        </w:tc>
        <w:tc>
          <w:tcPr>
            <w:tcW w:type="dxa" w:w="30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No financial covenants required — PASS</w:t>
            </w:r>
          </w:p>
        </w:tc>
      </w:tr>
      <w:tr>
        <w:tc>
          <w:tcPr>
            <w:tcW w:type="dxa" w:w="3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Freehold</w:t>
            </w:r>
          </w:p>
        </w:tc>
        <w:tc>
          <w:tcPr>
            <w:tcW w:type="dxa" w:w="3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Required for Ground Debt</w:t>
            </w:r>
          </w:p>
        </w:tc>
        <w:tc>
          <w:tcPr>
            <w:tcW w:type="dxa" w:w="30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OPH holds land in perpetuity by statute — assumed PASS</w:t>
            </w:r>
          </w:p>
        </w:tc>
      </w:tr>
      <w:tr>
        <w:tc>
          <w:tcPr>
            <w:tcW w:type="dxa" w:w="3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Geography</w:t>
            </w:r>
          </w:p>
        </w:tc>
        <w:tc>
          <w:tcPr>
            <w:tcW w:type="dxa" w:w="3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France (SONG active market)</w:t>
            </w:r>
          </w:p>
        </w:tc>
        <w:tc>
          <w:tcPr>
            <w:tcW w:type="dxa" w:w="30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France — PASS</w:t>
            </w:r>
          </w:p>
        </w:tc>
      </w:tr>
      <w:tr>
        <w:tc>
          <w:tcPr>
            <w:tcW w:type="dxa" w:w="3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H9 Gate</w:t>
            </w:r>
          </w:p>
        </w:tc>
        <w:tc>
          <w:tcPr>
            <w:tcW w:type="dxa" w:w="3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Pass all hard gates</w:t>
            </w:r>
          </w:p>
        </w:tc>
        <w:tc>
          <w:tcPr>
            <w:tcW w:type="dxa" w:w="30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PASS — procurement process is execution risk, not H9</w:t>
            </w:r>
          </w:p>
        </w:tc>
      </w:tr>
    </w:tbl>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0"/>
        <w:gridCol w:w="1500"/>
        <w:gridCol w:w="1500"/>
        <w:gridCol w:w="1500"/>
        <w:gridCol w:w="2526"/>
      </w:tblGrid>
      <w:tr>
        <w:tc>
          <w:tcPr>
            <w:tcW w:type="dxa" w:w="20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Covenant</w:t>
            </w:r>
          </w:p>
        </w:tc>
        <w:tc>
          <w:tcPr>
            <w:tcW w:type="dxa" w:w="15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Threshold</w:t>
            </w:r>
          </w:p>
        </w:tc>
        <w:tc>
          <w:tcPr>
            <w:tcW w:type="dxa" w:w="15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Current</w:t>
            </w:r>
          </w:p>
        </w:tc>
        <w:tc>
          <w:tcPr>
            <w:tcW w:type="dxa" w:w="15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Headroom</w:t>
            </w:r>
          </w:p>
        </w:tc>
        <w:tc>
          <w:tcPr>
            <w:tcW w:type="dxa" w:w="25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Assessment</w:t>
            </w:r>
          </w:p>
        </w:tc>
      </w:tr>
      <w:tr>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Ground Rent Coverage</w:t>
            </w:r>
          </w:p>
        </w:tc>
        <w:tc>
          <w:tcPr>
            <w:tcW w:type="dxa" w:w="1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N/A (GD)</w:t>
            </w:r>
          </w:p>
        </w:tc>
        <w:tc>
          <w:tcPr>
            <w:tcW w:type="dxa" w:w="1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N/A</w:t>
            </w:r>
          </w:p>
        </w:tc>
        <w:tc>
          <w:tcPr>
            <w:tcW w:type="dxa" w:w="1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N/A</w:t>
            </w:r>
          </w:p>
        </w:tc>
        <w:tc>
          <w:tcPr>
            <w:tcW w:type="dxa" w:w="25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Ground Debt — zero financial covenants</w:t>
            </w:r>
          </w:p>
        </w:tc>
      </w:tr>
      <w:tr>
        <w:tc>
          <w:tcPr>
            <w:tcW w:type="dxa" w:w="2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LTV (land value)</w:t>
            </w:r>
          </w:p>
        </w:tc>
        <w:tc>
          <w:tcPr>
            <w:tcW w:type="dxa" w:w="1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60%</w:t>
            </w:r>
          </w:p>
        </w:tc>
        <w:tc>
          <w:tcPr>
            <w:tcW w:type="dxa" w:w="1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TBC</w:t>
            </w:r>
          </w:p>
        </w:tc>
        <w:tc>
          <w:tcPr>
            <w:tcW w:type="dxa" w:w="1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TBC</w:t>
            </w:r>
          </w:p>
        </w:tc>
        <w:tc>
          <w:tcPr>
            <w:tcW w:type="dxa" w:w="25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Paris land values provide exceptional coverage</w:t>
            </w:r>
          </w:p>
        </w:tc>
      </w:tr>
      <w:tr>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ICR (if Term Loan)</w:t>
            </w:r>
          </w:p>
        </w:tc>
        <w:tc>
          <w:tcPr>
            <w:tcW w:type="dxa" w:w="1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1.40x</w:t>
            </w:r>
          </w:p>
        </w:tc>
        <w:tc>
          <w:tcPr>
            <w:tcW w:type="dxa" w:w="1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TBC</w:t>
            </w:r>
          </w:p>
        </w:tc>
        <w:tc>
          <w:tcPr>
            <w:tcW w:type="dxa" w:w="1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TBC</w:t>
            </w:r>
          </w:p>
        </w:tc>
        <w:tc>
          <w:tcPr>
            <w:tcW w:type="dxa" w:w="25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Only applicable if Term Loan option pursued</w:t>
            </w:r>
          </w:p>
        </w:tc>
      </w:tr>
      <w:tr>
        <w:tc>
          <w:tcPr>
            <w:tcW w:type="dxa" w:w="2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LTV Default</w:t>
            </w:r>
          </w:p>
        </w:tc>
        <w:tc>
          <w:tcPr>
            <w:tcW w:type="dxa" w:w="1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70%</w:t>
            </w:r>
          </w:p>
        </w:tc>
        <w:tc>
          <w:tcPr>
            <w:tcW w:type="dxa" w:w="1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TBC</w:t>
            </w:r>
          </w:p>
        </w:tc>
        <w:tc>
          <w:tcPr>
            <w:tcW w:type="dxa" w:w="1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TBC</w:t>
            </w:r>
          </w:p>
        </w:tc>
        <w:tc>
          <w:tcPr>
            <w:tcW w:type="dxa" w:w="25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Significant headroom expected</w:t>
            </w:r>
          </w:p>
        </w:tc>
      </w:tr>
    </w:tbl>
    <w:p>
      <w:r>
        <w:rPr>
          <w:rFonts w:ascii="Arial" w:cs="Arial" w:eastAsia="Arial" w:hAnsi="Arial"/>
          <w:sz w:val="20"/>
          <w:szCs w:val="20"/>
        </w:rPr>
        <w:t xml:space="preserve"/>
      </w:r>
    </w:p>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6. Existing Lender Syndicate &amp; Competitive Positioning</w:t>
            </w:r>
          </w:p>
        </w:tc>
      </w:tr>
    </w:tbl>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0"/>
        <w:gridCol w:w="2000"/>
        <w:gridCol w:w="2000"/>
        <w:gridCol w:w="3026"/>
      </w:tblGrid>
      <w:tr>
        <w:tc>
          <w:tcPr>
            <w:tcW w:type="dxa" w:w="20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Lender</w:t>
            </w:r>
          </w:p>
        </w:tc>
        <w:tc>
          <w:tcPr>
            <w:tcW w:type="dxa" w:w="20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Confirmed Role</w:t>
            </w:r>
          </w:p>
        </w:tc>
        <w:tc>
          <w:tcPr>
            <w:tcW w:type="dxa" w:w="20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Source</w:t>
            </w:r>
          </w:p>
        </w:tc>
        <w:tc>
          <w:tcPr>
            <w:tcW w:type="dxa" w:w="30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SONG Competitive Notes</w:t>
            </w:r>
          </w:p>
        </w:tc>
      </w:tr>
      <w:tr>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Phoenix Group</w:t>
            </w:r>
          </w:p>
        </w:tc>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Lead / anchor</w:t>
            </w:r>
          </w:p>
        </w:tc>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Maximum BPA confidence on AA-equivalent credit</w:t>
            </w:r>
          </w:p>
        </w:tc>
        <w:tc>
          <w:tcPr>
            <w:tcW w:type="dxa" w:w="30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Quasi-sovereign; essential housing; 30yr+ duration</w:t>
            </w:r>
          </w:p>
        </w:tc>
      </w:tr>
      <w:tr>
        <w:tc>
          <w:tcPr>
            <w:tcW w:type="dxa" w:w="2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Aviva ALM</w:t>
            </w:r>
          </w:p>
        </w:tc>
        <w:tc>
          <w:tcPr>
            <w:tcW w:type="dxa" w:w="2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Participant</w:t>
            </w:r>
          </w:p>
        </w:tc>
        <w:tc>
          <w:tcPr>
            <w:tcW w:type="dxa" w:w="2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Duration match for annuity book</w:t>
            </w:r>
          </w:p>
        </w:tc>
        <w:tc>
          <w:tcPr>
            <w:tcW w:type="dxa" w:w="30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City of Paris backing = lowest credit risk</w:t>
            </w:r>
          </w:p>
        </w:tc>
      </w:tr>
      <w:tr>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Canada Life</w:t>
            </w:r>
          </w:p>
        </w:tc>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Participant</w:t>
            </w:r>
          </w:p>
        </w:tc>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French infrastructure appetite</w:t>
            </w:r>
          </w:p>
        </w:tc>
        <w:tc>
          <w:tcPr>
            <w:tcW w:type="dxa" w:w="30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Social housing = ESG-aligned; sovereign-like</w:t>
            </w:r>
          </w:p>
        </w:tc>
      </w:tr>
      <w:tr>
        <w:tc>
          <w:tcPr>
            <w:tcW w:type="dxa" w:w="2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L&amp;G Capital</w:t>
            </w:r>
          </w:p>
        </w:tc>
        <w:tc>
          <w:tcPr>
            <w:tcW w:type="dxa" w:w="2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Participant</w:t>
            </w:r>
          </w:p>
        </w:tc>
        <w:tc>
          <w:tcPr>
            <w:tcW w:type="dxa" w:w="2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Infrastructure debt mandate</w:t>
            </w:r>
          </w:p>
        </w:tc>
        <w:tc>
          <w:tcPr>
            <w:tcW w:type="dxa" w:w="30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Public housing land = inflation hedge</w:t>
            </w:r>
          </w:p>
        </w:tc>
      </w:tr>
      <w:tr>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Royal London</w:t>
            </w:r>
          </w:p>
        </w:tc>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Participant</w:t>
            </w:r>
          </w:p>
        </w:tc>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ESG mandate — social impact</w:t>
            </w:r>
          </w:p>
        </w:tc>
        <w:tc>
          <w:tcPr>
            <w:tcW w:type="dxa" w:w="30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Social housing = maximum ESG alignment</w:t>
            </w:r>
          </w:p>
        </w:tc>
      </w:tr>
    </w:tbl>
    <w:p>
      <w:r>
        <w:rPr>
          <w:rFonts w:ascii="Arial" w:cs="Arial" w:eastAsia="Arial" w:hAnsi="Arial"/>
          <w:sz w:val="20"/>
          <w:szCs w:val="20"/>
        </w:rPr>
        <w:t xml:space="preserve"/>
      </w:r>
    </w:p>
    <w:p>
      <w:pPr>
        <w:ind w:left="720"/>
      </w:pPr>
      <w:r>
        <w:rPr>
          <w:rFonts w:ascii="Arial" w:cs="Arial" w:eastAsia="Arial" w:hAnsi="Arial"/>
          <w:sz w:val="20"/>
          <w:szCs w:val="20"/>
        </w:rPr>
        <w:t xml:space="preserve">"SONG Capital provides a 30-55 year Ground Debt facility via bail emphyteotique, allowing Paris Habitat to monetise premium Paris land without asset disposal — unlocking capital for new social housing while retaining the portfolio. City of Paris AA-equivalent credit provides maximum BPA insurer confidence."</w:t>
      </w:r>
    </w:p>
    <w:p>
      <w:r>
        <w:rPr>
          <w:rFonts w:ascii="Arial" w:cs="Arial" w:eastAsia="Arial" w:hAnsi="Arial"/>
          <w:sz w:val="20"/>
          <w:szCs w:val="20"/>
        </w:rPr>
        <w:t xml:space="preserve"/>
      </w:r>
    </w:p>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7. Contact Map &amp; Approach Strategy</w:t>
            </w:r>
          </w:p>
        </w:tc>
      </w:tr>
    </w:tbl>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600"/>
        <w:gridCol w:w="1800"/>
        <w:gridCol w:w="2200"/>
        <w:gridCol w:w="2000"/>
        <w:gridCol w:w="2426"/>
      </w:tblGrid>
      <w:tr>
        <w:tc>
          <w:tcPr>
            <w:tcW w:type="dxa" w:w="6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P</w:t>
            </w:r>
          </w:p>
        </w:tc>
        <w:tc>
          <w:tcPr>
            <w:tcW w:type="dxa" w:w="18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Name</w:t>
            </w:r>
          </w:p>
        </w:tc>
        <w:tc>
          <w:tcPr>
            <w:tcW w:type="dxa" w:w="22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Title / Organisation</w:t>
            </w:r>
          </w:p>
        </w:tc>
        <w:tc>
          <w:tcPr>
            <w:tcW w:type="dxa" w:w="20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Relevance</w:t>
            </w:r>
          </w:p>
        </w:tc>
        <w:tc>
          <w:tcPr>
            <w:tcW w:type="dxa" w:w="24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Approach</w:t>
            </w:r>
          </w:p>
        </w:tc>
      </w:tr>
      <w:tr>
        <w:tc>
          <w:tcPr>
            <w:tcW w:type="dxa" w:w="6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bCs/>
                <w:color w:val="000000"/>
                <w:sz w:val="18"/>
                <w:szCs w:val="18"/>
              </w:rPr>
              <w:t xml:space="preserve">P1</w:t>
            </w:r>
          </w:p>
        </w:tc>
        <w:tc>
          <w:tcPr>
            <w:tcW w:type="dxa" w:w="18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Pascal Claude</w:t>
            </w:r>
          </w:p>
        </w:tc>
        <w:tc>
          <w:tcPr>
            <w:tcW w:type="dxa" w:w="2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Finance Director, Paris Habitat</w:t>
            </w:r>
          </w:p>
        </w:tc>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Primary financial decision-maker</w:t>
            </w:r>
          </w:p>
        </w:tc>
        <w:tc>
          <w:tcPr>
            <w:tcW w:type="dxa" w:w="24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Via Segat mayoral relationship</w:t>
            </w:r>
          </w:p>
        </w:tc>
      </w:tr>
      <w:tr>
        <w:tc>
          <w:tcPr>
            <w:tcW w:type="dxa" w:w="6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bCs/>
                <w:color w:val="000000"/>
                <w:sz w:val="18"/>
                <w:szCs w:val="18"/>
              </w:rPr>
              <w:t xml:space="preserve">P1</w:t>
            </w:r>
          </w:p>
        </w:tc>
        <w:tc>
          <w:tcPr>
            <w:tcW w:type="dxa" w:w="18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Cecile Belard du Plantys</w:t>
            </w:r>
          </w:p>
        </w:tc>
        <w:tc>
          <w:tcPr>
            <w:tcW w:type="dxa" w:w="22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Directrice Generale (CEO)</w:t>
            </w:r>
          </w:p>
        </w:tc>
        <w:tc>
          <w:tcPr>
            <w:tcW w:type="dxa" w:w="2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CEO-level approval required</w:t>
            </w:r>
          </w:p>
        </w:tc>
        <w:tc>
          <w:tcPr>
            <w:tcW w:type="dxa" w:w="24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Via Segat / Paris City Hall</w:t>
            </w:r>
          </w:p>
        </w:tc>
      </w:tr>
      <w:tr>
        <w:tc>
          <w:tcPr>
            <w:tcW w:type="dxa" w:w="6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bCs/>
                <w:color w:val="000000"/>
                <w:sz w:val="18"/>
                <w:szCs w:val="18"/>
              </w:rPr>
              <w:t xml:space="preserve">P2</w:t>
            </w:r>
          </w:p>
        </w:tc>
        <w:tc>
          <w:tcPr>
            <w:tcW w:type="dxa" w:w="18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Segat / Yannick Cabrol</w:t>
            </w:r>
          </w:p>
        </w:tc>
        <w:tc>
          <w:tcPr>
            <w:tcW w:type="dxa" w:w="2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Segat infrastructure advisory</w:t>
            </w:r>
          </w:p>
        </w:tc>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Direct mayoral relationship — warm path</w:t>
            </w:r>
          </w:p>
        </w:tc>
        <w:tc>
          <w:tcPr>
            <w:tcW w:type="dxa" w:w="24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GCCP existing relationship</w:t>
            </w:r>
          </w:p>
        </w:tc>
      </w:tr>
      <w:tr>
        <w:tc>
          <w:tcPr>
            <w:tcW w:type="dxa" w:w="6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bCs/>
                <w:color w:val="000000"/>
                <w:sz w:val="18"/>
                <w:szCs w:val="18"/>
              </w:rPr>
              <w:t xml:space="preserve">P3</w:t>
            </w:r>
          </w:p>
        </w:tc>
        <w:tc>
          <w:tcPr>
            <w:tcW w:type="dxa" w:w="18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Paris City Hall finance team</w:t>
            </w:r>
          </w:p>
        </w:tc>
        <w:tc>
          <w:tcPr>
            <w:tcW w:type="dxa" w:w="22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Municipal treasury / budget office</w:t>
            </w:r>
          </w:p>
        </w:tc>
        <w:tc>
          <w:tcPr>
            <w:tcW w:type="dxa" w:w="2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May require political endorsement</w:t>
            </w:r>
          </w:p>
        </w:tc>
        <w:tc>
          <w:tcPr>
            <w:tcW w:type="dxa" w:w="24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Via Segat political network</w:t>
            </w:r>
          </w:p>
        </w:tc>
      </w:tr>
    </w:tbl>
    <w:p>
      <w:r>
        <w:rPr>
          <w:rFonts w:ascii="Arial" w:cs="Arial" w:eastAsia="Arial" w:hAnsi="Arial"/>
          <w:sz w:val="20"/>
          <w:szCs w:val="20"/>
        </w:rPr>
        <w:t xml:space="preserve"/>
      </w:r>
    </w:p>
    <w:p>
      <w:pPr>
        <w:ind w:left="720"/>
      </w:pPr>
      <w:r>
        <w:rPr>
          <w:rFonts w:ascii="Arial" w:cs="Arial" w:eastAsia="Arial" w:hAnsi="Arial"/>
          <w:sz w:val="20"/>
          <w:szCs w:val="20"/>
        </w:rPr>
        <w:t xml:space="preserve">"Aaron Sherlock, Grand Canal Capital Partners, introduced via Segat — We understand Paris Habitat is exploring institutional capital solutions for its social housing programme. GCCP has a mandate from an insurance-backed institutional lender to provide 30-55 year Ground Debt facilities to leading European public housing bodies. This product allows Paris Habitat to monetise land value without disposal, funding new construction and renovation. We would welcome 30 minutes with your finance team to explore."</w:t>
      </w:r>
    </w:p>
    <w:p>
      <w:r>
        <w:rPr>
          <w:rFonts w:ascii="Arial" w:cs="Arial" w:eastAsia="Arial" w:hAnsi="Arial"/>
          <w:sz w:val="20"/>
          <w:szCs w:val="20"/>
        </w:rPr>
        <w:t xml:space="preserve"/>
      </w:r>
    </w:p>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8. Decision Timeline &amp; Critical Path</w:t>
            </w:r>
          </w:p>
        </w:tc>
      </w:tr>
    </w:tbl>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400"/>
        <w:gridCol w:w="1200"/>
        <w:gridCol w:w="3500"/>
        <w:gridCol w:w="2926"/>
      </w:tblGrid>
      <w:tr>
        <w:tc>
          <w:tcPr>
            <w:tcW w:type="dxa" w:w="14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Date</w:t>
            </w:r>
          </w:p>
        </w:tc>
        <w:tc>
          <w:tcPr>
            <w:tcW w:type="dxa" w:w="12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Status</w:t>
            </w:r>
          </w:p>
        </w:tc>
        <w:tc>
          <w:tcPr>
            <w:tcW w:type="dxa" w:w="35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Event / Milestone</w:t>
            </w:r>
          </w:p>
        </w:tc>
        <w:tc>
          <w:tcPr>
            <w:tcW w:type="dxa" w:w="29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GCCP / SONG Action</w:t>
            </w:r>
          </w:p>
        </w:tc>
      </w:tr>
      <w:tr>
        <w:tc>
          <w:tcPr>
            <w:tcW w:type="dxa" w:w="14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Apr 2026</w:t>
            </w:r>
          </w:p>
        </w:tc>
        <w:tc>
          <w:tcPr>
            <w:tcW w:type="dxa" w:w="1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Critical</w:t>
            </w:r>
          </w:p>
        </w:tc>
        <w:tc>
          <w:tcPr>
            <w:tcW w:type="dxa" w:w="3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Commission French procurement legal opinion (OPH threshold)</w:t>
            </w:r>
          </w:p>
        </w:tc>
        <w:tc>
          <w:tcPr>
            <w:tcW w:type="dxa" w:w="29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GCCP / Linklaters / Hogan Lovells Paris</w:t>
            </w:r>
          </w:p>
        </w:tc>
      </w:tr>
      <w:tr>
        <w:tc>
          <w:tcPr>
            <w:tcW w:type="dxa" w:w="14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Apr 2026</w:t>
            </w:r>
          </w:p>
        </w:tc>
        <w:tc>
          <w:tcPr>
            <w:tcW w:type="dxa" w:w="12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Critical</w:t>
            </w:r>
          </w:p>
        </w:tc>
        <w:tc>
          <w:tcPr>
            <w:tcW w:type="dxa" w:w="3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Segat to confirm approach pathway via mayoral relationship</w:t>
            </w:r>
          </w:p>
        </w:tc>
        <w:tc>
          <w:tcPr>
            <w:tcW w:type="dxa" w:w="29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Yannick / Segat</w:t>
            </w:r>
          </w:p>
        </w:tc>
      </w:tr>
      <w:tr>
        <w:tc>
          <w:tcPr>
            <w:tcW w:type="dxa" w:w="14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May 2026</w:t>
            </w:r>
          </w:p>
        </w:tc>
        <w:tc>
          <w:tcPr>
            <w:tcW w:type="dxa" w:w="1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Key Milestone</w:t>
            </w:r>
          </w:p>
        </w:tc>
        <w:tc>
          <w:tcPr>
            <w:tcW w:type="dxa" w:w="3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Legal opinion received — confirms tender vs direct placement</w:t>
            </w:r>
          </w:p>
        </w:tc>
        <w:tc>
          <w:tcPr>
            <w:tcW w:type="dxa" w:w="29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GCCP reviews and structures approach</w:t>
            </w:r>
          </w:p>
        </w:tc>
      </w:tr>
      <w:tr>
        <w:tc>
          <w:tcPr>
            <w:tcW w:type="dxa" w:w="14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Jun 2026</w:t>
            </w:r>
          </w:p>
        </w:tc>
        <w:tc>
          <w:tcPr>
            <w:tcW w:type="dxa" w:w="12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Target</w:t>
            </w:r>
          </w:p>
        </w:tc>
        <w:tc>
          <w:tcPr>
            <w:tcW w:type="dxa" w:w="3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Introductory meeting with Paris Habitat Finance Director</w:t>
            </w:r>
          </w:p>
        </w:tc>
        <w:tc>
          <w:tcPr>
            <w:tcW w:type="dxa" w:w="29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AS + Segat attend; present SONG Ground Debt</w:t>
            </w:r>
          </w:p>
        </w:tc>
      </w:tr>
      <w:tr>
        <w:tc>
          <w:tcPr>
            <w:tcW w:type="dxa" w:w="14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Q3 2026</w:t>
            </w:r>
          </w:p>
        </w:tc>
        <w:tc>
          <w:tcPr>
            <w:tcW w:type="dxa" w:w="1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Secondary</w:t>
            </w:r>
          </w:p>
        </w:tc>
        <w:tc>
          <w:tcPr>
            <w:tcW w:type="dxa" w:w="3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Concept paper shared: Ground Debt via bail emphyteotique</w:t>
            </w:r>
          </w:p>
        </w:tc>
        <w:tc>
          <w:tcPr>
            <w:tcW w:type="dxa" w:w="29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Draft and share with Paris Habitat team</w:t>
            </w:r>
          </w:p>
        </w:tc>
      </w:tr>
      <w:tr>
        <w:tc>
          <w:tcPr>
            <w:tcW w:type="dxa" w:w="14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Q4 2026</w:t>
            </w:r>
          </w:p>
        </w:tc>
        <w:tc>
          <w:tcPr>
            <w:tcW w:type="dxa" w:w="12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Execution</w:t>
            </w:r>
          </w:p>
        </w:tc>
        <w:tc>
          <w:tcPr>
            <w:tcW w:type="dxa" w:w="3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SONG mandate / asset pool selection begins</w:t>
            </w:r>
          </w:p>
        </w:tc>
        <w:tc>
          <w:tcPr>
            <w:tcW w:type="dxa" w:w="29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DD on land portfolio; bail emphyteotique structuring</w:t>
            </w:r>
          </w:p>
        </w:tc>
      </w:tr>
      <w:tr>
        <w:tc>
          <w:tcPr>
            <w:tcW w:type="dxa" w:w="14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H1 2027</w:t>
            </w:r>
          </w:p>
        </w:tc>
        <w:tc>
          <w:tcPr>
            <w:tcW w:type="dxa" w:w="12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Hard Deadline</w:t>
            </w:r>
          </w:p>
        </w:tc>
        <w:tc>
          <w:tcPr>
            <w:tcW w:type="dxa" w:w="3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Heads of Terms and facility completion target</w:t>
            </w:r>
          </w:p>
        </w:tc>
        <w:tc>
          <w:tcPr>
            <w:tcW w:type="dxa" w:w="29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Fee receipt: EUR 2.0-4.0m</w:t>
            </w:r>
          </w:p>
        </w:tc>
      </w:tr>
    </w:tbl>
    <w:p>
      <w:r>
        <w:rPr>
          <w:rFonts w:ascii="Arial" w:cs="Arial" w:eastAsia="Arial" w:hAnsi="Arial"/>
          <w:sz w:val="20"/>
          <w:szCs w:val="20"/>
        </w:rPr>
        <w:t xml:space="preserve"/>
      </w:r>
    </w:p>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9. Risk Register</w:t>
            </w:r>
          </w:p>
        </w:tc>
      </w:tr>
    </w:tbl>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0"/>
        <w:gridCol w:w="1000"/>
        <w:gridCol w:w="3000"/>
        <w:gridCol w:w="3026"/>
      </w:tblGrid>
      <w:tr>
        <w:tc>
          <w:tcPr>
            <w:tcW w:type="dxa" w:w="20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Risk</w:t>
            </w:r>
          </w:p>
        </w:tc>
        <w:tc>
          <w:tcPr>
            <w:tcW w:type="dxa" w:w="10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Level</w:t>
            </w:r>
          </w:p>
        </w:tc>
        <w:tc>
          <w:tcPr>
            <w:tcW w:type="dxa" w:w="30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Description</w:t>
            </w:r>
          </w:p>
        </w:tc>
        <w:tc>
          <w:tcPr>
            <w:tcW w:type="dxa" w:w="30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Mitigant / GCCP Response</w:t>
            </w:r>
          </w:p>
        </w:tc>
      </w:tr>
      <w:tr>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Public Procurement Rules</w:t>
            </w:r>
          </w:p>
        </w:tc>
        <w:tc>
          <w:tcPr>
            <w:tcW w:type="dxa" w:w="1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High</w:t>
            </w:r>
          </w:p>
        </w:tc>
        <w:tc>
          <w:tcPr>
            <w:tcW w:type="dxa" w:w="3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OPH is a public body subject to Code de la commande publique. Debt above EUR 214k may require European tender.</w:t>
            </w:r>
          </w:p>
        </w:tc>
        <w:tc>
          <w:tcPr>
            <w:tcW w:type="dxa" w:w="30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Legal opinion required BEFORE approach. If tender required, GCCP participates in formal process.</w:t>
            </w:r>
          </w:p>
        </w:tc>
      </w:tr>
      <w:tr>
        <w:tc>
          <w:tcPr>
            <w:tcW w:type="dxa" w:w="2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No Near-Term Maturity Catalyst</w:t>
            </w:r>
          </w:p>
        </w:tc>
        <w:tc>
          <w:tcPr>
            <w:tcW w:type="dxa" w:w="1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Medium</w:t>
            </w:r>
          </w:p>
        </w:tc>
        <w:tc>
          <w:tcPr>
            <w:tcW w:type="dxa" w:w="3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Climate bond 2031 is 5yr away. No forced refinancing event.</w:t>
            </w:r>
          </w:p>
        </w:tc>
        <w:tc>
          <w:tcPr>
            <w:tcW w:type="dxa" w:w="30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Approach on capital needs basis — new housing programme + renovation funding.</w:t>
            </w:r>
          </w:p>
        </w:tc>
      </w:tr>
      <w:tr>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Freehold Not Confirmed</w:t>
            </w:r>
          </w:p>
        </w:tc>
        <w:tc>
          <w:tcPr>
            <w:tcW w:type="dxa" w:w="1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Medium</w:t>
            </w:r>
          </w:p>
        </w:tc>
        <w:tc>
          <w:tcPr>
            <w:tcW w:type="dxa" w:w="3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OPH holds land in perpetuity by statute — assumed HIGH but not confirmed.</w:t>
            </w:r>
          </w:p>
        </w:tc>
        <w:tc>
          <w:tcPr>
            <w:tcW w:type="dxa" w:w="30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Paris Habitat annual report / French OPH land registry confirmation required.</w:t>
            </w:r>
          </w:p>
        </w:tc>
      </w:tr>
      <w:tr>
        <w:tc>
          <w:tcPr>
            <w:tcW w:type="dxa" w:w="2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French Legal (BEA for OPH)</w:t>
            </w:r>
          </w:p>
        </w:tc>
        <w:tc>
          <w:tcPr>
            <w:tcW w:type="dxa" w:w="1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bCs/>
                <w:color w:val="000000"/>
                <w:sz w:val="18"/>
                <w:szCs w:val="18"/>
              </w:rPr>
              <w:t xml:space="preserve">Medium</w:t>
            </w:r>
          </w:p>
        </w:tc>
        <w:tc>
          <w:tcPr>
            <w:tcW w:type="dxa" w:w="30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Bail emphyteotique for public body requires specific legal structuring.</w:t>
            </w:r>
          </w:p>
        </w:tc>
        <w:tc>
          <w:tcPr>
            <w:tcW w:type="dxa" w:w="30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OPH already uses BEA structures. Legally mandated tool for public housing.</w:t>
            </w:r>
          </w:p>
        </w:tc>
      </w:tr>
      <w:tr>
        <w:tc>
          <w:tcPr>
            <w:tcW w:type="dxa" w:w="2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Paris Political Risk</w:t>
            </w:r>
          </w:p>
        </w:tc>
        <w:tc>
          <w:tcPr>
            <w:tcW w:type="dxa" w:w="1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Low</w:t>
            </w:r>
          </w:p>
        </w:tc>
        <w:tc>
          <w:tcPr>
            <w:tcW w:type="dxa" w:w="30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OPH controlled by City of Paris political administration.</w:t>
            </w:r>
          </w:p>
        </w:tc>
        <w:tc>
          <w:tcPr>
            <w:tcW w:type="dxa" w:w="30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Housing is apolitical in Paris. All coalitions support social housing.</w:t>
            </w:r>
          </w:p>
        </w:tc>
      </w:tr>
    </w:tbl>
    <w:p>
      <w:r>
        <w:rPr>
          <w:rFonts w:ascii="Arial" w:cs="Arial" w:eastAsia="Arial" w:hAnsi="Arial"/>
          <w:sz w:val="20"/>
          <w:szCs w:val="20"/>
        </w:rPr>
        <w:t xml:space="preserve"/>
      </w:r>
    </w:p>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10. Fee Projection</w:t>
            </w:r>
          </w:p>
        </w:tc>
      </w:tr>
    </w:tbl>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500"/>
        <w:gridCol w:w="1500"/>
        <w:gridCol w:w="1500"/>
        <w:gridCol w:w="1100"/>
        <w:gridCol w:w="1400"/>
        <w:gridCol w:w="1526"/>
      </w:tblGrid>
      <w:tr>
        <w:tc>
          <w:tcPr>
            <w:tcW w:type="dxa" w:w="25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Opportunity</w:t>
            </w:r>
          </w:p>
        </w:tc>
        <w:tc>
          <w:tcPr>
            <w:tcW w:type="dxa" w:w="15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Facility Size</w:t>
            </w:r>
          </w:p>
        </w:tc>
        <w:tc>
          <w:tcPr>
            <w:tcW w:type="dxa" w:w="15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GCCP Fee at 1%</w:t>
            </w:r>
          </w:p>
        </w:tc>
        <w:tc>
          <w:tcPr>
            <w:tcW w:type="dxa" w:w="11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Probability</w:t>
            </w:r>
          </w:p>
        </w:tc>
        <w:tc>
          <w:tcPr>
            <w:tcW w:type="dxa" w:w="1400"/>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Risk-Adjusted Fee</w:t>
            </w:r>
          </w:p>
        </w:tc>
        <w:tc>
          <w:tcPr>
            <w:tcW w:type="dxa" w:w="15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Target Close</w:t>
            </w:r>
          </w:p>
        </w:tc>
      </w:tr>
      <w:tr>
        <w:tc>
          <w:tcPr>
            <w:tcW w:type="dxa" w:w="2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bCs/>
                <w:color w:val="000000"/>
                <w:sz w:val="18"/>
                <w:szCs w:val="18"/>
              </w:rPr>
              <w:t xml:space="preserve">Primary: Ground Debt</w:t>
            </w:r>
          </w:p>
        </w:tc>
        <w:tc>
          <w:tcPr>
            <w:tcW w:type="dxa" w:w="1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right"/>
            </w:pPr>
            <w:r>
              <w:rPr>
                <w:rFonts w:ascii="Arial" w:cs="Arial" w:eastAsia="Arial" w:hAnsi="Arial"/>
                <w:b w:val="false"/>
                <w:bCs w:val="false"/>
                <w:color w:val="000000"/>
                <w:sz w:val="18"/>
                <w:szCs w:val="18"/>
              </w:rPr>
              <w:t xml:space="preserve">EUR 300m</w:t>
            </w:r>
          </w:p>
        </w:tc>
        <w:tc>
          <w:tcPr>
            <w:tcW w:type="dxa" w:w="1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right"/>
            </w:pPr>
            <w:r>
              <w:rPr>
                <w:rFonts w:ascii="Arial" w:cs="Arial" w:eastAsia="Arial" w:hAnsi="Arial"/>
                <w:b/>
                <w:bCs/>
                <w:color w:val="000000"/>
                <w:sz w:val="18"/>
                <w:szCs w:val="18"/>
              </w:rPr>
              <w:t xml:space="preserve">EUR 3.0m</w:t>
            </w:r>
          </w:p>
        </w:tc>
        <w:tc>
          <w:tcPr>
            <w:tcW w:type="dxa" w:w="11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30%</w:t>
            </w:r>
          </w:p>
        </w:tc>
        <w:tc>
          <w:tcPr>
            <w:tcW w:type="dxa" w:w="14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right"/>
            </w:pPr>
            <w:r>
              <w:rPr>
                <w:rFonts w:ascii="Arial" w:cs="Arial" w:eastAsia="Arial" w:hAnsi="Arial"/>
                <w:b/>
                <w:bCs/>
                <w:color w:val="000000"/>
                <w:sz w:val="18"/>
                <w:szCs w:val="18"/>
              </w:rPr>
              <w:t xml:space="preserve">EUR 0.9m</w:t>
            </w:r>
          </w:p>
        </w:tc>
        <w:tc>
          <w:tcPr>
            <w:tcW w:type="dxa" w:w="15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H1 2027</w:t>
            </w:r>
          </w:p>
        </w:tc>
      </w:tr>
      <w:tr>
        <w:tc>
          <w:tcPr>
            <w:tcW w:type="dxa" w:w="2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Conservative: Smaller pool</w:t>
            </w:r>
          </w:p>
        </w:tc>
        <w:tc>
          <w:tcPr>
            <w:tcW w:type="dxa" w:w="1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right"/>
            </w:pPr>
            <w:r>
              <w:rPr>
                <w:rFonts w:ascii="Arial" w:cs="Arial" w:eastAsia="Arial" w:hAnsi="Arial"/>
                <w:b w:val="false"/>
                <w:bCs w:val="false"/>
                <w:color w:val="000000"/>
                <w:sz w:val="18"/>
                <w:szCs w:val="18"/>
              </w:rPr>
              <w:t xml:space="preserve">EUR 200m</w:t>
            </w:r>
          </w:p>
        </w:tc>
        <w:tc>
          <w:tcPr>
            <w:tcW w:type="dxa" w:w="15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right"/>
            </w:pPr>
            <w:r>
              <w:rPr>
                <w:rFonts w:ascii="Arial" w:cs="Arial" w:eastAsia="Arial" w:hAnsi="Arial"/>
                <w:b/>
                <w:bCs/>
                <w:color w:val="000000"/>
                <w:sz w:val="18"/>
                <w:szCs w:val="18"/>
              </w:rPr>
              <w:t xml:space="preserve">EUR 2.0m</w:t>
            </w:r>
          </w:p>
        </w:tc>
        <w:tc>
          <w:tcPr>
            <w:tcW w:type="dxa" w:w="11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35%</w:t>
            </w:r>
          </w:p>
        </w:tc>
        <w:tc>
          <w:tcPr>
            <w:tcW w:type="dxa" w:w="1400"/>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right"/>
            </w:pPr>
            <w:r>
              <w:rPr>
                <w:rFonts w:ascii="Arial" w:cs="Arial" w:eastAsia="Arial" w:hAnsi="Arial"/>
                <w:b/>
                <w:bCs/>
                <w:color w:val="000000"/>
                <w:sz w:val="18"/>
                <w:szCs w:val="18"/>
              </w:rPr>
              <w:t xml:space="preserve">EUR 0.7m</w:t>
            </w:r>
          </w:p>
        </w:tc>
        <w:tc>
          <w:tcPr>
            <w:tcW w:type="dxa" w:w="1526"/>
            <w:tcBorders>
              <w:top w:val="single" w:color="BFBFBF" w:sz="6"/>
              <w:left w:val="single" w:color="BFBFBF" w:sz="6"/>
              <w:bottom w:val="single" w:color="BFBFBF" w:sz="6"/>
              <w:right w:val="single" w:color="BFBFBF" w:sz="6"/>
            </w:tcBorders>
            <w:shd w:fill="FFFFFF"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H1 2027</w:t>
            </w:r>
          </w:p>
        </w:tc>
      </w:tr>
      <w:tr>
        <w:tc>
          <w:tcPr>
            <w:tcW w:type="dxa" w:w="2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Upside: Full land monetisation</w:t>
            </w:r>
          </w:p>
        </w:tc>
        <w:tc>
          <w:tcPr>
            <w:tcW w:type="dxa" w:w="1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right"/>
            </w:pPr>
            <w:r>
              <w:rPr>
                <w:rFonts w:ascii="Arial" w:cs="Arial" w:eastAsia="Arial" w:hAnsi="Arial"/>
                <w:b w:val="false"/>
                <w:bCs w:val="false"/>
                <w:color w:val="000000"/>
                <w:sz w:val="18"/>
                <w:szCs w:val="18"/>
              </w:rPr>
              <w:t xml:space="preserve">EUR 400m</w:t>
            </w:r>
          </w:p>
        </w:tc>
        <w:tc>
          <w:tcPr>
            <w:tcW w:type="dxa" w:w="15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right"/>
            </w:pPr>
            <w:r>
              <w:rPr>
                <w:rFonts w:ascii="Arial" w:cs="Arial" w:eastAsia="Arial" w:hAnsi="Arial"/>
                <w:b/>
                <w:bCs/>
                <w:color w:val="000000"/>
                <w:sz w:val="18"/>
                <w:szCs w:val="18"/>
              </w:rPr>
              <w:t xml:space="preserve">EUR 4.0m</w:t>
            </w:r>
          </w:p>
        </w:tc>
        <w:tc>
          <w:tcPr>
            <w:tcW w:type="dxa" w:w="11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center"/>
            </w:pPr>
            <w:r>
              <w:rPr>
                <w:rFonts w:ascii="Arial" w:cs="Arial" w:eastAsia="Arial" w:hAnsi="Arial"/>
                <w:b w:val="false"/>
                <w:bCs w:val="false"/>
                <w:color w:val="000000"/>
                <w:sz w:val="18"/>
                <w:szCs w:val="18"/>
              </w:rPr>
              <w:t xml:space="preserve">20%</w:t>
            </w:r>
          </w:p>
        </w:tc>
        <w:tc>
          <w:tcPr>
            <w:tcW w:type="dxa" w:w="1400"/>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right"/>
            </w:pPr>
            <w:r>
              <w:rPr>
                <w:rFonts w:ascii="Arial" w:cs="Arial" w:eastAsia="Arial" w:hAnsi="Arial"/>
                <w:b/>
                <w:bCs/>
                <w:color w:val="000000"/>
                <w:sz w:val="18"/>
                <w:szCs w:val="18"/>
              </w:rPr>
              <w:t xml:space="preserve">EUR 0.8m</w:t>
            </w:r>
          </w:p>
        </w:tc>
        <w:tc>
          <w:tcPr>
            <w:tcW w:type="dxa" w:w="1526"/>
            <w:tcBorders>
              <w:top w:val="single" w:color="BFBFBF" w:sz="6"/>
              <w:left w:val="single" w:color="BFBFBF" w:sz="6"/>
              <w:bottom w:val="single" w:color="BFBFBF" w:sz="6"/>
              <w:right w:val="single" w:color="BFBFBF" w:sz="6"/>
            </w:tcBorders>
            <w:shd w:fill="F5F6F8" w:val="clear"/>
            <w:tcMar>
              <w:top w:type="dxa" w:w="50"/>
              <w:left w:type="dxa" w:w="80"/>
              <w:bottom w:type="dxa" w:w="50"/>
              <w:right w:type="dxa" w:w="80"/>
            </w:tcMar>
          </w:tcPr>
          <w:p>
            <w:pPr>
              <w:jc w:val="left"/>
            </w:pPr>
            <w:r>
              <w:rPr>
                <w:rFonts w:ascii="Arial" w:cs="Arial" w:eastAsia="Arial" w:hAnsi="Arial"/>
                <w:b w:val="false"/>
                <w:bCs w:val="false"/>
                <w:color w:val="000000"/>
                <w:sz w:val="18"/>
                <w:szCs w:val="18"/>
              </w:rPr>
              <w:t xml:space="preserve">H2 2027</w:t>
            </w:r>
          </w:p>
        </w:tc>
      </w:tr>
    </w:tbl>
    <w:p>
      <w:r>
        <w:rPr>
          <w:rFonts w:ascii="Arial" w:cs="Arial" w:eastAsia="Arial" w:hAnsi="Arial"/>
          <w:sz w:val="20"/>
          <w:szCs w:val="20"/>
        </w:rPr>
        <w:t xml:space="preserve"/>
      </w:r>
    </w:p>
    <w:p>
      <w:r>
        <w:rPr>
          <w:rFonts w:ascii="Arial" w:cs="Arial" w:eastAsia="Arial" w:hAnsi="Arial"/>
          <w:sz w:val="20"/>
          <w:szCs w:val="20"/>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BFBFBF" w:sz="6"/>
              <w:left w:val="single" w:color="BFBFBF" w:sz="6"/>
              <w:bottom w:val="single" w:color="BFBFBF" w:sz="6"/>
              <w:right w:val="single" w:color="BFBFBF" w:sz="6"/>
            </w:tcBorders>
            <w:shd w:fill="1C2237" w:val="clear"/>
            <w:tcMar>
              <w:top w:type="dxa" w:w="50"/>
              <w:left w:type="dxa" w:w="80"/>
              <w:bottom w:type="dxa" w:w="50"/>
              <w:right w:type="dxa" w:w="80"/>
            </w:tcMar>
          </w:tcPr>
          <w:p>
            <w:r>
              <w:rPr>
                <w:rFonts w:ascii="Arial" w:cs="Arial" w:eastAsia="Arial" w:hAnsi="Arial"/>
                <w:b/>
                <w:bCs/>
                <w:color w:val="FFFFFF"/>
                <w:sz w:val="22"/>
                <w:szCs w:val="22"/>
              </w:rPr>
              <w:t xml:space="preserve">11. GCCP Recommendation &amp; Immediate Actions</w:t>
            </w:r>
          </w:p>
        </w:tc>
      </w:tr>
    </w:tbl>
    <w:p>
      <w:r>
        <w:rPr>
          <w:rFonts w:ascii="Arial" w:cs="Arial" w:eastAsia="Arial" w:hAnsi="Arial"/>
          <w:sz w:val="20"/>
          <w:szCs w:val="20"/>
        </w:rPr>
        <w:t xml:space="preserve"/>
      </w:r>
    </w:p>
    <w:p>
      <w:r>
        <w:rPr>
          <w:rFonts w:ascii="Arial" w:cs="Arial" w:eastAsia="Arial" w:hAnsi="Arial"/>
          <w:b/>
          <w:bCs/>
          <w:color w:val="1C2237"/>
          <w:sz w:val="20"/>
          <w:szCs w:val="20"/>
        </w:rPr>
        <w:t xml:space="preserve">GCCP recommends advancement of Paris Habitat as a GO NOW SONG Capital Ground Debt opportunity, contingent on obtaining a French procurement legal opinion. Paris Habitat is France's largest single social landlord with 128,698 units backed by the City of Paris (AA-equivalent). The bail emphyteotique Ground Debt product allows land monetisation without disposal — a unique institutional capital solution. Segat's direct mayoral relationship provides a warm access route that no other intermediary can offer.</w:t>
      </w:r>
    </w:p>
    <w:p>
      <w:r>
        <w:rPr>
          <w:rFonts w:ascii="Arial" w:cs="Arial" w:eastAsia="Arial" w:hAnsi="Arial"/>
          <w:sz w:val="20"/>
          <w:szCs w:val="20"/>
        </w:rPr>
        <w:t xml:space="preserve"/>
      </w:r>
    </w:p>
    <w:p>
      <w:r>
        <w:rPr>
          <w:rFonts w:ascii="Arial" w:cs="Arial" w:eastAsia="Arial" w:hAnsi="Arial"/>
          <w:b/>
          <w:bCs/>
          <w:sz w:val="20"/>
          <w:szCs w:val="20"/>
        </w:rPr>
        <w:t xml:space="preserve">Recommended SONG facility: EUR 200-400m Ground Debt (bail emphyteotique) | 30-55yr | Fixed uplifts 1.5-2.5%/yr | Fee: EUR 2.0-4.0m</w:t>
      </w:r>
    </w:p>
    <w:p>
      <w:r>
        <w:rPr>
          <w:rFonts w:ascii="Arial" w:cs="Arial" w:eastAsia="Arial" w:hAnsi="Arial"/>
          <w:sz w:val="20"/>
          <w:szCs w:val="20"/>
        </w:rPr>
        <w:t xml:space="preserve"/>
      </w:r>
    </w:p>
    <w:p>
      <w:r>
        <w:rPr>
          <w:rFonts w:ascii="Arial" w:cs="Arial" w:eastAsia="Arial" w:hAnsi="Arial"/>
          <w:sz w:val="20"/>
          <w:szCs w:val="20"/>
        </w:rPr>
        <w:t xml:space="preserve">1. Commission French procurement legal opinion (OPH debt threshold) — GCCP / French counsel — April 2026</w:t>
      </w:r>
    </w:p>
    <w:p>
      <w:r>
        <w:rPr>
          <w:rFonts w:ascii="Arial" w:cs="Arial" w:eastAsia="Arial" w:hAnsi="Arial"/>
          <w:sz w:val="20"/>
          <w:szCs w:val="20"/>
        </w:rPr>
        <w:t xml:space="preserve">2. Segat to confirm approach pathway and timeline via mayoral relationship — Yannick — April 2026</w:t>
      </w:r>
    </w:p>
    <w:p>
      <w:r>
        <w:rPr>
          <w:rFonts w:ascii="Arial" w:cs="Arial" w:eastAsia="Arial" w:hAnsi="Arial"/>
          <w:sz w:val="20"/>
          <w:szCs w:val="20"/>
        </w:rPr>
        <w:t xml:space="preserve">3. Identify Paris Habitat Finance Director / Treasurer for direct engagement — Research — April 2026</w:t>
      </w:r>
    </w:p>
    <w:p>
      <w:r>
        <w:rPr>
          <w:rFonts w:ascii="Arial" w:cs="Arial" w:eastAsia="Arial" w:hAnsi="Arial"/>
          <w:sz w:val="20"/>
          <w:szCs w:val="20"/>
        </w:rPr>
        <w:t xml:space="preserve">4. Confirm freehold status of Paris Habitat land portfolio — Paris Habitat annual report — April 2026</w:t>
      </w:r>
    </w:p>
    <w:p>
      <w:r>
        <w:rPr>
          <w:rFonts w:ascii="Arial" w:cs="Arial" w:eastAsia="Arial" w:hAnsi="Arial"/>
          <w:sz w:val="20"/>
          <w:szCs w:val="20"/>
        </w:rPr>
        <w:t xml:space="preserve">5. Draft concept paper: Ground Debt via bail emphyteotique for Paris Habitat — AS — May 2026</w:t>
      </w:r>
    </w:p>
    <w:p>
      <w:r>
        <w:rPr>
          <w:rFonts w:ascii="Arial" w:cs="Arial" w:eastAsia="Arial" w:hAnsi="Arial"/>
          <w:sz w:val="20"/>
          <w:szCs w:val="20"/>
        </w:rPr>
        <w:t xml:space="preserve"/>
      </w:r>
    </w:p>
    <w:p>
      <w:r>
        <w:rPr>
          <w:rFonts w:ascii="Arial" w:cs="Arial" w:eastAsia="Arial" w:hAnsi="Arial"/>
          <w:sz w:val="20"/>
          <w:szCs w:val="20"/>
        </w:rPr>
        <w:t xml:space="preserve">Reference precedent: Eclairion (EUR 563m, 10yr, 295bps, GCCP-introduced) confirms SONG appetite for French institutional assets. No direct Ground Debt precedent for French social housing — GCCP/SONG would be first-mover.</w:t>
      </w:r>
    </w:p>
    <w:p>
      <w:r>
        <w:rPr>
          <w:rFonts w:ascii="Arial" w:cs="Arial" w:eastAsia="Arial" w:hAnsi="Arial"/>
          <w:sz w:val="20"/>
          <w:szCs w:val="20"/>
        </w:rPr>
        <w:t xml:space="preserve"/>
      </w:r>
    </w:p>
    <w:p>
      <w:r>
        <w:rPr>
          <w:rFonts w:ascii="Arial" w:cs="Arial" w:eastAsia="Arial" w:hAnsi="Arial"/>
          <w:sz w:val="20"/>
          <w:szCs w:val="20"/>
        </w:rPr>
        <w:t xml:space="preserve"/>
      </w:r>
    </w:p>
    <w:p>
      <w:r>
        <w:rPr>
          <w:rFonts w:ascii="Arial" w:cs="Arial" w:eastAsia="Arial" w:hAnsi="Arial"/>
          <w:b w:val="false"/>
          <w:bCs w:val="false"/>
          <w:sz w:val="20"/>
          <w:szCs w:val="20"/>
        </w:rPr>
        <w:t xml:space="preserve">[AI-DRAFT] — Generated by GCCP AI systems. Requires partner review before external distribution.</w:t>
      </w:r>
    </w:p>
    <w:p>
      <w:r>
        <w:rPr>
          <w:rFonts w:ascii="Arial" w:cs="Arial" w:eastAsia="Arial" w:hAnsi="Arial"/>
          <w:sz w:val="20"/>
          <w:szCs w:val="20"/>
        </w:rPr>
        <w:t xml:space="preserve"/>
      </w:r>
    </w:p>
    <w:p>
      <w:r>
        <w:rPr>
          <w:rFonts w:ascii="Arial" w:cs="Arial" w:eastAsia="Arial" w:hAnsi="Arial"/>
          <w:b/>
          <w:bCs/>
          <w:sz w:val="20"/>
          <w:szCs w:val="20"/>
        </w:rPr>
        <w:t xml:space="preserve">Sources:</w:t>
      </w:r>
    </w:p>
    <w:p>
      <w:r>
        <w:rPr>
          <w:rFonts w:ascii="Arial" w:cs="Arial" w:eastAsia="Arial" w:hAnsi="Arial"/>
          <w:b w:val="false"/>
          <w:bCs w:val="false"/>
          <w:sz w:val="20"/>
          <w:szCs w:val="20"/>
        </w:rPr>
        <w:t xml:space="preserve">Paris Habitat corporate information — parishabitat.fr, 2024-2025</w:t>
      </w:r>
    </w:p>
    <w:p>
      <w:r>
        <w:rPr>
          <w:rFonts w:ascii="Arial" w:cs="Arial" w:eastAsia="Arial" w:hAnsi="Arial"/>
          <w:b w:val="false"/>
          <w:bCs w:val="false"/>
          <w:sz w:val="20"/>
          <w:szCs w:val="20"/>
        </w:rPr>
        <w:t xml:space="preserve">Paris Climate Bond — public bond issuance documentation</w:t>
      </w:r>
    </w:p>
    <w:p>
      <w:r>
        <w:rPr>
          <w:rFonts w:ascii="Arial" w:cs="Arial" w:eastAsia="Arial" w:hAnsi="Arial"/>
          <w:b w:val="false"/>
          <w:bCs w:val="false"/>
          <w:sz w:val="20"/>
          <w:szCs w:val="20"/>
        </w:rPr>
        <w:t xml:space="preserve">GCCP France Master Index v10, 26 March 2026</w:t>
      </w:r>
    </w:p>
    <w:p>
      <w:r>
        <w:rPr>
          <w:rFonts w:ascii="Arial" w:cs="Arial" w:eastAsia="Arial" w:hAnsi="Arial"/>
          <w:b w:val="false"/>
          <w:bCs w:val="false"/>
          <w:sz w:val="20"/>
          <w:szCs w:val="20"/>
        </w:rPr>
        <w:t xml:space="preserve">GCCP Meeting Debrief — Segat/Yannick, 31 March 2026</w:t>
      </w:r>
    </w:p>
    <w:p>
      <w:r>
        <w:rPr>
          <w:rFonts w:ascii="Arial" w:cs="Arial" w:eastAsia="Arial" w:hAnsi="Arial"/>
          <w:b w:val="false"/>
          <w:bCs w:val="false"/>
          <w:sz w:val="20"/>
          <w:szCs w:val="20"/>
        </w:rPr>
        <w:t xml:space="preserve">French Code de la commande publique — procurement thresholds</w:t>
      </w:r>
    </w:p>
    <w:p>
      <w:r>
        <w:rPr>
          <w:rFonts w:ascii="Arial" w:cs="Arial" w:eastAsia="Arial" w:hAnsi="Arial"/>
          <w:sz w:val="20"/>
          <w:szCs w:val="20"/>
        </w:rPr>
        <w:t xml:space="preserve"/>
      </w:r>
    </w:p>
    <w:p>
      <w:pPr>
        <w:jc w:val="center"/>
      </w:pPr>
      <w:r>
        <w:rPr>
          <w:rFonts w:ascii="Arial" w:cs="Arial" w:eastAsia="Arial" w:hAnsi="Arial"/>
          <w:color w:val="4A4F5C"/>
          <w:sz w:val="16"/>
          <w:szCs w:val="16"/>
        </w:rPr>
        <w:t xml:space="preserve">This document is prepared by Grand Canal Capital Partners for internal use only. Not for distribution. Confidential.</w:t>
      </w:r>
    </w:p>
    <w:sectPr>
      <w:headerReference w:type="default" r:id="rId7"/>
      <w:footerReference w:type="default" r:id="rId8"/>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6000"/>
      <w:gridCol w:w="4026"/>
    </w:tblGrid>
    <w:tr>
      <w:tc>
        <w:tcPr>
          <w:tcBorders>
            <w:top w:val="single" w:color="1C2237" w:sz="6"/>
            <w:left w:val="none" w:color="FFFFFF" w:sz="0"/>
            <w:bottom w:val="none" w:color="FFFFFF" w:sz="0"/>
            <w:right w:val="none" w:color="FFFFFF" w:sz="0"/>
          </w:tcBorders>
        </w:tcPr>
        <w:p>
          <w:r>
            <w:rPr>
              <w:rFonts w:ascii="Arial" w:cs="Arial" w:eastAsia="Arial" w:hAnsi="Arial"/>
              <w:color w:val="4A4F5C"/>
              <w:sz w:val="16"/>
              <w:szCs w:val="16"/>
            </w:rPr>
            <w:t xml:space="preserve">Grand Canal Capital Partners | Strictly Confidential</w:t>
          </w:r>
        </w:p>
      </w:tc>
      <w:tc>
        <w:tcPr>
          <w:tcBorders>
            <w:top w:val="single" w:color="1C2237" w:sz="6"/>
            <w:left w:val="none" w:color="FFFFFF" w:sz="0"/>
            <w:bottom w:val="none" w:color="FFFFFF" w:sz="0"/>
            <w:right w:val="none" w:color="FFFFFF" w:sz="0"/>
          </w:tcBorders>
        </w:tcPr>
        <w:p>
          <w:pPr>
            <w:jc w:val="right"/>
          </w:pPr>
          <w:r>
            <w:rPr>
              <w:rFonts w:ascii="Arial" w:cs="Arial" w:eastAsia="Arial" w:hAnsi="Arial"/>
              <w:color w:val="4A4F5C"/>
              <w:sz w:val="16"/>
              <w:szCs w:val="16"/>
            </w:rPr>
            <w:t xml:space="preserve">Page </w:t>
          </w:r>
          <w:r>
            <w:rPr>
              <w:rFonts w:ascii="Arial" w:cs="Arial" w:eastAsia="Arial" w:hAnsi="Arial"/>
              <w:color w:val="4A4F5C"/>
              <w:sz w:val="16"/>
              <w:szCs w:val="16"/>
            </w:rPr>
            <w:fldChar w:fldCharType="begin"/>
            <w:instrText xml:space="preserve">PAGE</w:instrText>
            <w:fldChar w:fldCharType="separate"/>
            <w:fldChar w:fldCharType="end"/>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6000"/>
      <w:gridCol w:w="4026"/>
    </w:tblGrid>
    <w:tr>
      <w:tc>
        <w:tcPr>
          <w:tcBorders>
            <w:top w:val="none" w:color="FFFFFF" w:sz="0"/>
            <w:left w:val="none" w:color="FFFFFF" w:sz="0"/>
            <w:bottom w:val="single" w:color="1C2237" w:sz="6"/>
            <w:right w:val="none" w:color="FFFFFF" w:sz="0"/>
          </w:tcBorders>
        </w:tcPr>
        <w:p>
          <w:r>
            <w:rPr>
              <w:rFonts w:ascii="Arial" w:cs="Arial" w:eastAsia="Arial" w:hAnsi="Arial"/>
              <w:b/>
              <w:bCs/>
              <w:color w:val="1C2237"/>
              <w:sz w:val="16"/>
              <w:szCs w:val="16"/>
            </w:rPr>
            <w:t xml:space="preserve">GRAND CANAL CAPITAL PARTNERS</w:t>
          </w:r>
        </w:p>
      </w:tc>
      <w:tc>
        <w:tcPr>
          <w:tcBorders>
            <w:top w:val="none" w:color="FFFFFF" w:sz="0"/>
            <w:left w:val="none" w:color="FFFFFF" w:sz="0"/>
            <w:bottom w:val="single" w:color="1C2237" w:sz="6"/>
            <w:right w:val="none" w:color="FFFFFF" w:sz="0"/>
          </w:tcBorders>
        </w:tcPr>
        <w:p>
          <w:pPr>
            <w:jc w:val="right"/>
          </w:pPr>
          <w:r>
            <w:rPr>
              <w:rFonts w:ascii="Arial" w:cs="Arial" w:eastAsia="Arial" w:hAnsi="Arial"/>
              <w:color w:val="4A4F5C"/>
              <w:sz w:val="16"/>
              <w:szCs w:val="16"/>
            </w:rPr>
            <w:t xml:space="preserve">FR-PR04 | v1 | 02Apr2026</w:t>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image" Target="media/c028e78f433f314109cb2e72d0ad4b944b4fa50e.jpg"/><Relationship Id="rId10"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2026-04-02T18:15:40.975Z</dcterms:created>
  <dcterms:modified xsi:type="dcterms:W3CDTF">2026-04-02T18:15:40.975Z</dcterms:modified>
</cp:coreProperties>
</file>

<file path=docProps/custom.xml><?xml version="1.0" encoding="utf-8"?>
<Properties xmlns="http://schemas.openxmlformats.org/officeDocument/2006/custom-properties" xmlns:vt="http://schemas.openxmlformats.org/officeDocument/2006/docPropsVTypes"/>
</file>