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drawing>
          <wp:inline distT="0" distB="0" distL="0" distR="0">
            <wp:extent cx="1524000" cy="10191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1524000" cy="1019175"/>
                    </a:xfrm>
                    <a:prstGeom prst="rect">
                      <a:avLst/>
                    </a:prstGeom>
                  </pic:spPr>
                </pic:pic>
              </a:graphicData>
            </a:graphic>
          </wp:inline>
        </w:drawing>
      </w:r>
    </w:p>
    <w:p>
      <w:r>
        <w:rPr>
          <w:rFonts w:ascii="Arial" w:cs="Arial" w:eastAsia="Arial" w:hAnsi="Arial"/>
          <w:b/>
          <w:bCs/>
          <w:color w:val="1C2237"/>
          <w:sz w:val="28"/>
          <w:szCs w:val="28"/>
        </w:rPr>
        <w:t xml:space="preserve">PRAEMIA HEALTHCARE — EUR 400-700m Senior Secured Term Loan / Ground Debt | Healthcare Real Estate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8B0000" w:val="clear"/>
            <w:tcMar>
              <w:top w:type="dxa" w:w="50"/>
              <w:left w:type="dxa" w:w="80"/>
              <w:bottom w:type="dxa" w:w="50"/>
              <w:right w:type="dxa" w:w="80"/>
            </w:tcMar>
          </w:tcPr>
          <w:p>
            <w:pPr>
              <w:jc w:val="center"/>
            </w:pPr>
            <w:r>
              <w:rPr>
                <w:rFonts w:ascii="Arial" w:cs="Arial" w:eastAsia="Arial" w:hAnsi="Arial"/>
                <w:b/>
                <w:bCs/>
                <w:color w:val="FFFFFF"/>
                <w:sz w:val="20"/>
                <w:szCs w:val="20"/>
              </w:rPr>
              <w:t xml:space="preserve">STRICTLY CONFIDENTIAL — GCCP INTERNAL USE ONLY</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7"/>
        <w:gridCol w:w="2257"/>
        <w:gridCol w:w="2256"/>
      </w:tblGrid>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Pipeline ID</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FR-HRE01</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Score</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8.34</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Tier</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GO NOW</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GCCP Lead</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Version</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v1</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Date</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02Apr2026</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Prepared By</w:t>
            </w:r>
          </w:p>
        </w:tc>
        <w:tc>
          <w:tcPr>
            <w:tcW w:type="dxa" w:w="677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Aaron Sherlock / Jonathan Hillyer, Grand Canal Capital Partners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20"/>
                <w:szCs w:val="20"/>
              </w:rPr>
              <w:t xml:space="preserve">IMMEDIATE ACTION REQUIRED: Approach Praemia Healthcare via JH French institutional network — H1 2026</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 Company Overview &amp; Key Metrics</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Praemia Healthcare SACA (formerly Icade Sante) is the largest dedicated healthcare real estate company in France. The portfolio comprises 159 healthcare assets totalling approximately 2,000,000 sqm of surface area, valued at EUR 6.2 billion. Tenants include France's largest hospital operators — Ramsay Sante, Elsan, Clariane, and DomusVi — on long-term triple-net leases. The entity holds a BBB+ credit rating from S&amp;P with 100% financial occupancy.</w:t>
      </w:r>
    </w:p>
    <w:p>
      <w:r>
        <w:rPr>
          <w:rFonts w:ascii="Arial" w:cs="Arial" w:eastAsia="Arial" w:hAnsi="Arial"/>
          <w:sz w:val="20"/>
          <w:szCs w:val="20"/>
        </w:rPr>
        <w:t xml:space="preserve"/>
      </w:r>
    </w:p>
    <w:p>
      <w:r>
        <w:rPr>
          <w:rFonts w:ascii="Arial" w:cs="Arial" w:eastAsia="Arial" w:hAnsi="Arial"/>
          <w:b w:val="false"/>
          <w:bCs w:val="false"/>
          <w:sz w:val="20"/>
          <w:szCs w:val="20"/>
        </w:rPr>
        <w:t xml:space="preserve">Originally Icade Sante, the company was acquired by Primonial REIM (now Praemia REIM) and Societe Generale Assurances. Icade's remaining 36% stake was to be divested by end 2025. Praemia Healthcare is now fully institutionally-owned, with Praemia REIM and SGA as the primary shareholders.</w:t>
      </w:r>
    </w:p>
    <w:p>
      <w:r>
        <w:rPr>
          <w:rFonts w:ascii="Arial" w:cs="Arial" w:eastAsia="Arial" w:hAnsi="Arial"/>
          <w:sz w:val="20"/>
          <w:szCs w:val="20"/>
        </w:rPr>
        <w:t xml:space="preserve"/>
      </w:r>
    </w:p>
    <w:p>
      <w:r>
        <w:rPr>
          <w:rFonts w:ascii="Arial" w:cs="Arial" w:eastAsia="Arial" w:hAnsi="Arial"/>
          <w:b w:val="false"/>
          <w:bCs w:val="false"/>
          <w:sz w:val="20"/>
          <w:szCs w:val="20"/>
        </w:rPr>
        <w:t xml:space="preserve">SONG direct precedent: Hamberley/Patron GBP 210m Ground Debt (2026) — 11 freehold care home sites. Praemia Healthcare is the French equivalent at 14x the asset count and EUR 6.2bn portfolio value. This is the most compelling healthcare PropCo opportunity in continental Europe for SONG Capital.</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7"/>
        <w:gridCol w:w="2257"/>
        <w:gridCol w:w="2256"/>
      </w:tblGrid>
      <w:tr>
        <w:tc>
          <w:tcPr>
            <w:tcW w:type="dxa" w:w="225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Metric</w:t>
            </w:r>
          </w:p>
        </w:tc>
        <w:tc>
          <w:tcPr>
            <w:tcW w:type="dxa" w:w="2257"/>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c>
          <w:tcPr>
            <w:tcW w:type="dxa" w:w="2257"/>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Metric</w:t>
            </w:r>
          </w:p>
        </w:tc>
        <w:tc>
          <w:tcPr>
            <w:tcW w:type="dxa" w:w="225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Listing / Structure</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Private (SACA)</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Sector</w:t>
            </w:r>
          </w:p>
        </w:tc>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Real Estate</w:t>
            </w:r>
          </w:p>
        </w:tc>
      </w:tr>
      <w:tr>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Portfolio Value</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6.2bn</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Key Market</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France (nationwide)</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Existing Debt (est.)</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710m</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Implied LTV</w:t>
            </w:r>
          </w:p>
        </w:tc>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~11.5% (significantly under-levered)</w:t>
            </w:r>
          </w:p>
        </w:tc>
      </w:tr>
      <w:tr>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Asset Count</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159 healthcare assets</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Credit Rating</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BBB+ (S&amp;P)</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0"/>
        <w:gridCol w:w="2500"/>
        <w:gridCol w:w="5026"/>
      </w:tblGrid>
      <w:tr>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Date</w:t>
            </w:r>
          </w:p>
        </w:tc>
        <w:tc>
          <w:tcPr>
            <w:tcW w:type="dxa" w:w="2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Event</w:t>
            </w:r>
          </w:p>
        </w:tc>
        <w:tc>
          <w:tcPr>
            <w:tcW w:type="dxa" w:w="5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Detail &amp; SONG Impact</w:t>
            </w:r>
          </w:p>
        </w:tc>
      </w:tr>
      <w:tr>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2026</w:t>
            </w:r>
          </w:p>
        </w:tc>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Icade 36% stake divestiture</w:t>
            </w:r>
          </w:p>
        </w:tc>
        <w:tc>
          <w:tcPr>
            <w:tcW w:type="dxa" w:w="5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Full institutional ownership confirmed — simplifies SONG engagement. No public listing overhang.</w:t>
            </w:r>
          </w:p>
        </w:tc>
      </w:tr>
      <w:tr>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2024</w:t>
            </w:r>
          </w:p>
        </w:tc>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EUR 160m bilateral refi</w:t>
            </w:r>
          </w:p>
        </w:tc>
        <w:tc>
          <w:tcPr>
            <w:tcW w:type="dxa" w:w="5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4-bank sustainability-linked credit lines refinanced. Short tenor (3-5yr). SONG can offer 20yr replacement.</w:t>
            </w:r>
          </w:p>
        </w:tc>
      </w:tr>
      <w:tr>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2023</w:t>
            </w:r>
          </w:p>
        </w:tc>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Primonial/SGA acquisition</w:t>
            </w:r>
          </w:p>
        </w:tc>
        <w:tc>
          <w:tcPr>
            <w:tcW w:type="dxa" w:w="5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550m acquisition bank facility (SG + BNP). 5-7yr tenor. Primary SONG refinancing target.</w:t>
            </w:r>
          </w:p>
        </w:tc>
      </w:tr>
      <w:tr>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2026</w:t>
            </w:r>
          </w:p>
        </w:tc>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Hamberley/Patron GBP 210m</w:t>
            </w:r>
          </w:p>
        </w:tc>
        <w:tc>
          <w:tcPr>
            <w:tcW w:type="dxa" w:w="5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closed GBP 210m Ground Debt on 11 UK care homes — direct structural precedent for Praemia Healthcare.</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2. SONG Scoring Analysis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1200"/>
        <w:gridCol w:w="1200"/>
        <w:gridCol w:w="3626"/>
      </w:tblGrid>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Factor</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Weight</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Score (0-10)</w:t>
            </w:r>
          </w:p>
        </w:tc>
        <w:tc>
          <w:tcPr>
            <w:tcW w:type="dxa" w:w="36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Rationale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Rate Type</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Triple-net rent + fixed rate facility structure. EUR fixed uplifts achievable.</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10.0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400-700m — well above EUR 200m minimum. Largest single healthcare opportunity in France.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Asset Quality</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159 ARS-licensed healthcare assets. 100% occupancy. BBB+ rated entity.</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DSCR</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10%</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8.0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Estimated DSCR &gt;3x at facility level. Triple-net lease structure isolates income.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Timing</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10%</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H1 2026 approach window. No forced maturity but existing bank tenors expiring 2028-2030.</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BPA Fit</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freehold = ideal annuity match. Hamberley/Patron precedent confirms BPA board appetite.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Contact Quality</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French SPI network provides warm path. CFO identification still required.</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11.5% current LTV — extraordinary headroom. SONG facility takes LTV to only 18-22%.</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Competitive Positioning</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 BPA insurer has done French healthcare PropCo at 20yr+ fixed. First-mover advantage.</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GCCP Relationship</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8.0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Alderan/Primonial channel. Warm intro route via French institutional network.</w:t>
            </w:r>
          </w:p>
        </w:tc>
      </w:tr>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left"/>
            </w:pPr>
            <w:r>
              <w:rPr>
                <w:rFonts w:ascii="Arial" w:cs="Arial" w:eastAsia="Arial" w:hAnsi="Arial"/>
                <w:b/>
                <w:bCs/>
                <w:color w:val="FFFFFF"/>
                <w:sz w:val="18"/>
                <w:szCs w:val="18"/>
              </w:rPr>
              <w:t xml:space="preserve">WEIGHTED TOTAL</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18"/>
                <w:szCs w:val="18"/>
              </w:rPr>
              <w:t xml:space="preserve">100%</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18"/>
                <w:szCs w:val="18"/>
              </w:rPr>
              <w:t xml:space="preserve">8.34</w:t>
            </w:r>
          </w:p>
        </w:tc>
        <w:tc>
          <w:tcPr>
            <w:tcW w:type="dxa" w:w="36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left"/>
            </w:pPr>
            <w:r>
              <w:rPr>
                <w:rFonts w:ascii="Arial" w:cs="Arial" w:eastAsia="Arial" w:hAnsi="Arial"/>
                <w:b/>
                <w:bCs/>
                <w:color w:val="FFFFFF"/>
                <w:sz w:val="18"/>
                <w:szCs w:val="18"/>
              </w:rPr>
              <w:t xml:space="preserve">GO NOW</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3. Debt Structure — Full Facility Stack</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Total existing debt estimated at EUR 710m against a EUR 6.2bn portfolio (LTV 11.5%). Praemia Healthcare is significantly under-levered. A SONG facility of EUR 400-700m would bring LTV to only 18-22% — well within BBB+ territory. Two SONG product options: Senior Secured Term Loan (20yr) and/or Ground Debt (30-55yr) on freehold assets.</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400"/>
        <w:gridCol w:w="1200"/>
        <w:gridCol w:w="1000"/>
        <w:gridCol w:w="2000"/>
        <w:gridCol w:w="14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Facility</w:t>
            </w:r>
          </w:p>
        </w:tc>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Maturity</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Rate Type</w:t>
            </w:r>
          </w:p>
        </w:tc>
        <w:tc>
          <w:tcPr>
            <w:tcW w:type="dxa" w:w="1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Lenders</w:t>
            </w:r>
          </w:p>
        </w:tc>
        <w:tc>
          <w:tcPr>
            <w:tcW w:type="dxa" w:w="14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Priority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Acquisition bank facility</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2028-2030 [EST]</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Floating [EST]</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N/A</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SG + BNP Paribas</w:t>
            </w:r>
          </w:p>
        </w:tc>
        <w:tc>
          <w:tcPr>
            <w:tcW w:type="dxa" w:w="1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PRIMARY</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Bilateral credit lines (2024)</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2027-2029 [EST]</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Floating [EST]</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N/A</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4 banks (sustainability-linked)</w:t>
            </w:r>
          </w:p>
        </w:tc>
        <w:tc>
          <w:tcPr>
            <w:tcW w:type="dxa" w:w="1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SECONDARY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Term Loan (proposed)</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20yr from close</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~5.50%</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Capital / BPA syndicate</w:t>
            </w:r>
          </w:p>
        </w:tc>
        <w:tc>
          <w:tcPr>
            <w:tcW w:type="dxa" w:w="1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TARGET</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Ground Debt (alt.)</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30-55yr</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 uplifts</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1.5-2.5%/yr</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Capital / BPA syndicate</w:t>
            </w:r>
          </w:p>
        </w:tc>
        <w:tc>
          <w:tcPr>
            <w:tcW w:type="dxa" w:w="1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ALTERNATIVE</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0"/>
        <w:gridCol w:w="5526"/>
      </w:tblGrid>
      <w:tr>
        <w:tc>
          <w:tcPr>
            <w:tcW w:type="dxa" w:w="3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Facility Detail</w:t>
            </w:r>
          </w:p>
        </w:tc>
        <w:tc>
          <w:tcPr>
            <w:tcW w:type="dxa" w:w="5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400-700m (Term Loan) / EUR 200-400m (Ground Debt)</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Net Refinancing Need</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710m existing debt — full replacement or partial overlay</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Maturity</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Existing: 2027-2030 [ESTIMATED]; SONG: 20yr or 30-55yr</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Current Rate</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Floating (bank facilities) — exact rate NOT FOUND</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Management Assumption</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Refinancing at maturity; Praemia REIM seeking institutional-grade long-term capital</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Target Rate</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Approx. 5.50% (20yr Term Loan) or 1.5-2.5%/yr fixed uplift (Ground Debt)</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NAV Accretion</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Elimination of refinancing risk; 20yr+ tenor vs 5-7yr bank rollover</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Tenor Comparison</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Current: 5-7yr bank | SONG: 20yr (TL) or 30-55yr (GD)</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USP</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Only provider of 20yr+ fixed-rate healthcare PropCo debt in continental Europe</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Refi Status</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 mandate issued — GCCP origination opportunity</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Competitive Conflicts</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 BPA insurer active in French healthcare PropCo — zero competition</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4. DSCR Analysis &amp; Asset Pool</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0"/>
        <w:gridCol w:w="1200"/>
        <w:gridCol w:w="1200"/>
        <w:gridCol w:w="1200"/>
        <w:gridCol w:w="1276"/>
        <w:gridCol w:w="1276"/>
        <w:gridCol w:w="1274"/>
      </w:tblGrid>
      <w:tr>
        <w:tc>
          <w:tcPr>
            <w:tcW w:type="dxa" w:w="16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Scenario</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Income (EURm)</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OpEx (EURm)</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EBITDA</w:t>
            </w:r>
          </w:p>
        </w:tc>
        <w:tc>
          <w:tcPr>
            <w:tcW w:type="dxa" w:w="127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200m</w:t>
            </w:r>
          </w:p>
        </w:tc>
        <w:tc>
          <w:tcPr>
            <w:tcW w:type="dxa" w:w="127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250m</w:t>
            </w:r>
          </w:p>
        </w:tc>
        <w:tc>
          <w:tcPr>
            <w:tcW w:type="dxa" w:w="1274"/>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300m</w:t>
            </w:r>
          </w:p>
        </w:tc>
      </w:tr>
      <w:tr>
        <w:tc>
          <w:tcPr>
            <w:tcW w:type="dxa" w:w="1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Base Case (portfolio)</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340</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30</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310</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11.3x</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9.0x</w:t>
            </w:r>
          </w:p>
        </w:tc>
        <w:tc>
          <w:tcPr>
            <w:tcW w:type="dxa" w:w="1274"/>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7.5x</w:t>
            </w:r>
          </w:p>
        </w:tc>
      </w:tr>
      <w:tr>
        <w:tc>
          <w:tcPr>
            <w:tcW w:type="dxa" w:w="1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Base Case (30-asset pool)</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85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8</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77</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2.8x</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2.2x</w:t>
            </w:r>
          </w:p>
        </w:tc>
        <w:tc>
          <w:tcPr>
            <w:tcW w:type="dxa" w:w="1274"/>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1.9x</w:t>
            </w:r>
          </w:p>
        </w:tc>
      </w:tr>
      <w:tr>
        <w:tc>
          <w:tcPr>
            <w:tcW w:type="dxa" w:w="1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Downside (-10% rent)</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76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8</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68</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2.5x</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2.0x</w:t>
            </w:r>
          </w:p>
        </w:tc>
        <w:tc>
          <w:tcPr>
            <w:tcW w:type="dxa" w:w="1274"/>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1.6x</w:t>
            </w:r>
          </w:p>
        </w:tc>
      </w:tr>
      <w:tr>
        <w:tc>
          <w:tcPr>
            <w:tcW w:type="dxa" w:w="1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Severe Stress (-20%)</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68</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8</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60</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2.2x</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1.7x</w:t>
            </w:r>
          </w:p>
        </w:tc>
        <w:tc>
          <w:tcPr>
            <w:tcW w:type="dxa" w:w="1274"/>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1.4x</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All scenarios above SONG 1.40x cash trap covenant at EUR 200-300m facility. Portfolio-level DSCR provides exceptional headroom.</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1500"/>
        <w:gridCol w:w="2000"/>
        <w:gridCol w:w="2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Asset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Capacity</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Support Scheme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Counterparty</w:t>
            </w:r>
          </w:p>
        </w:tc>
        <w:tc>
          <w:tcPr>
            <w:tcW w:type="dxa" w:w="2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Pool Suitability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MCO Clinics (court sejour)</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~100 assets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ARS licence</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Ramsay Sante / Elsan</w:t>
            </w:r>
          </w:p>
        </w:tc>
        <w:tc>
          <w:tcPr>
            <w:tcW w:type="dxa" w:w="2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 — PRIMARY</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SSR Rehabilitation</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~30 assets</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ARS licence</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Clariane / DomusVi</w:t>
            </w:r>
          </w:p>
        </w:tc>
        <w:tc>
          <w:tcPr>
            <w:tcW w:type="dxa" w:w="2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Psychiatric facilities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~15 assets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ARS licence</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Various operators</w:t>
            </w:r>
          </w:p>
        </w:tc>
        <w:tc>
          <w:tcPr>
            <w:tcW w:type="dxa" w:w="2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EHPAD (elderly care)</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~14 assets</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ARS licence</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Various operators</w:t>
            </w:r>
          </w:p>
        </w:tc>
        <w:tc>
          <w:tcPr>
            <w:tcW w:type="dxa" w:w="2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 — Ground Debt preferred</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Freehold land (all sites)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TBC</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Bail emphyteotique</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Praemia Healthcare</w:t>
            </w:r>
          </w:p>
        </w:tc>
        <w:tc>
          <w:tcPr>
            <w:tcW w:type="dxa" w:w="2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Ground Debt eligible — count TBC</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5. SONG Credit Box Fit Assessment</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26"/>
      </w:tblGrid>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Parameter</w:t>
            </w:r>
          </w:p>
        </w:tc>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Requirement</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Fit</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200m minimum</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EUR 400-700m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Rate Type</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 only</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Fixed (Term Loan) / Fixed uplifts (GD)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Asset Quality</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Investment grade / BPA</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BBB+ rated; 159 ARS-licensed assets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40-50% (60% PRS)</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Est. 18-22% post-SONG — PASS (exceptional headroom)</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DSCR</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1.4x cash trap / 1.3x default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Est. &gt;2.5x on 30-asset pool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Tenor</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10-30yr / 30-55yr GD</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20yr TL or 30-55yr GD proposed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BPA Income Fit</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Long-dated stable income</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Triple-net healthcare leases; ARS-licensed operators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Covenant</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Standard SONG package</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Existing bank covenants — compatible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Freehold</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Required for Ground Debt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TBC — freehold count required for GD option</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Geography</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France (SONG active market)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France — PASS (Eclairion precedent confirms)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H9 Gate</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Pass all hard gates</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PASS — ILAT indexation requires restructuring to fixed uplifts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1500"/>
        <w:gridCol w:w="1500"/>
        <w:gridCol w:w="25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Covenant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Threshold</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Current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Headroom</w:t>
            </w:r>
          </w:p>
        </w:tc>
        <w:tc>
          <w:tcPr>
            <w:tcW w:type="dxa" w:w="2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Assessment</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ICR Cash Trap</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1.40x</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&gt;3.0x [EST]</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+1.6x+</w:t>
            </w:r>
          </w:p>
        </w:tc>
        <w:tc>
          <w:tcPr>
            <w:tcW w:type="dxa" w:w="2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Exceptional headroom</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ICR Default</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1.30x</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&gt;3.0x [EST]</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+1.7x+</w:t>
            </w:r>
          </w:p>
        </w:tc>
        <w:tc>
          <w:tcPr>
            <w:tcW w:type="dxa" w:w="2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Exceptional headroom</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 Cash Trap</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55%</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~20%</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35pts</w:t>
            </w:r>
          </w:p>
        </w:tc>
        <w:tc>
          <w:tcPr>
            <w:tcW w:type="dxa" w:w="2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Well within covenant</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 Default</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60%</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~20%</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40pts</w:t>
            </w:r>
          </w:p>
        </w:tc>
        <w:tc>
          <w:tcPr>
            <w:tcW w:type="dxa" w:w="2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Well within covenant</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6. Existing Lender Syndicate &amp; Competitive Positioning</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2000"/>
        <w:gridCol w:w="3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Lender</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Confirmed Role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Source</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Competitive Notes</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Phoenix Group</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Lead / anchor</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Hamberley/Patron precedent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freehold = ideal annuity match; BBB+ credit</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Aviva ALM</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infrastructure appetite</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Duration match; ALM demand for 20yr+ healthcare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Canada Life</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Nuffield GD GBP 250m precedent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BBB+ healthcare PropCo; similar structure</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L&amp;G Capital</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Infrastructure debt mandate</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France healthcare first-mover opportunity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Royal London</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ESG mandate</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essential services; BBB+ ESG-compliant</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Swiss Re (reinsurer)</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real estate ALM asset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Natural reinsurance ALM match</w:t>
            </w:r>
          </w:p>
        </w:tc>
      </w:tr>
    </w:tbl>
    <w:p>
      <w:r>
        <w:rPr>
          <w:rFonts w:ascii="Arial" w:cs="Arial" w:eastAsia="Arial" w:hAnsi="Arial"/>
          <w:sz w:val="20"/>
          <w:szCs w:val="20"/>
        </w:rPr>
        <w:t xml:space="preserve"/>
      </w:r>
    </w:p>
    <w:p>
      <w:pPr>
        <w:ind w:left="720"/>
      </w:pPr>
      <w:r>
        <w:rPr>
          <w:rFonts w:ascii="Arial" w:cs="Arial" w:eastAsia="Arial" w:hAnsi="Arial"/>
          <w:sz w:val="20"/>
          <w:szCs w:val="20"/>
        </w:rPr>
        <w:t xml:space="preserve">"SONG Capital replaces short-tenor bank facilities with a 20-year fixed-rate senior secured term loan, delivering refinancing certainty and NAV stability for Praemia Healthcare's EUR 6.2bn portfolio — the largest healthcare PropCo in continental Europe."</w:t>
      </w:r>
    </w:p>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7. Contact Map &amp; Approach Strategy</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600"/>
        <w:gridCol w:w="1800"/>
        <w:gridCol w:w="2200"/>
        <w:gridCol w:w="2000"/>
        <w:gridCol w:w="2426"/>
      </w:tblGrid>
      <w:tr>
        <w:tc>
          <w:tcPr>
            <w:tcW w:type="dxa" w:w="6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w:t>
            </w:r>
          </w:p>
        </w:tc>
        <w:tc>
          <w:tcPr>
            <w:tcW w:type="dxa" w:w="18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Name</w:t>
            </w:r>
          </w:p>
        </w:tc>
        <w:tc>
          <w:tcPr>
            <w:tcW w:type="dxa" w:w="2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Title / Organisation</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Relevance</w:t>
            </w:r>
          </w:p>
        </w:tc>
        <w:tc>
          <w:tcPr>
            <w:tcW w:type="dxa" w:w="24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Approach</w:t>
            </w:r>
          </w:p>
        </w:tc>
      </w:tr>
      <w:tr>
        <w:tc>
          <w:tcPr>
            <w:tcW w:type="dxa" w:w="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P1</w:t>
            </w:r>
          </w:p>
        </w:tc>
        <w:tc>
          <w:tcPr>
            <w:tcW w:type="dxa" w:w="18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Praemia Healthcare CFO</w:t>
            </w:r>
          </w:p>
        </w:tc>
        <w:tc>
          <w:tcPr>
            <w:tcW w:type="dxa" w:w="2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CFO / Praemia Healthcare SACA</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Primary decision-maker — finance</w:t>
            </w:r>
          </w:p>
        </w:tc>
        <w:tc>
          <w:tcPr>
            <w:tcW w:type="dxa" w:w="2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French SPI network / LinkedIn</w:t>
            </w:r>
          </w:p>
        </w:tc>
      </w:tr>
      <w:tr>
        <w:tc>
          <w:tcPr>
            <w:tcW w:type="dxa" w:w="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P1</w:t>
            </w:r>
          </w:p>
        </w:tc>
        <w:tc>
          <w:tcPr>
            <w:tcW w:type="dxa" w:w="18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Jean-Luc Neez</w:t>
            </w:r>
          </w:p>
        </w:tc>
        <w:tc>
          <w:tcPr>
            <w:tcW w:type="dxa" w:w="2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Group CFO, Praemia REIM</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Group-level finance authority</w:t>
            </w:r>
          </w:p>
        </w:tc>
        <w:tc>
          <w:tcPr>
            <w:tcW w:type="dxa" w:w="2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Alderan/Primonial channel</w:t>
            </w:r>
          </w:p>
        </w:tc>
      </w:tr>
      <w:tr>
        <w:tc>
          <w:tcPr>
            <w:tcW w:type="dxa" w:w="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P2</w:t>
            </w:r>
          </w:p>
        </w:tc>
        <w:tc>
          <w:tcPr>
            <w:tcW w:type="dxa" w:w="18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Helga Camalon</w:t>
            </w:r>
          </w:p>
        </w:tc>
        <w:tc>
          <w:tcPr>
            <w:tcW w:type="dxa" w:w="2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CFO, Praemia REIM Care division</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Healthcare-specific finance</w:t>
            </w:r>
          </w:p>
        </w:tc>
        <w:tc>
          <w:tcPr>
            <w:tcW w:type="dxa" w:w="2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JH or LinkedIn</w:t>
            </w:r>
          </w:p>
        </w:tc>
      </w:tr>
      <w:tr>
        <w:tc>
          <w:tcPr>
            <w:tcW w:type="dxa" w:w="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P2</w:t>
            </w:r>
          </w:p>
        </w:tc>
        <w:tc>
          <w:tcPr>
            <w:tcW w:type="dxa" w:w="18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Stephanie Lacroix</w:t>
            </w:r>
          </w:p>
        </w:tc>
        <w:tc>
          <w:tcPr>
            <w:tcW w:type="dxa" w:w="2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CEO, Praemia REIM France</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CEO-level endorsement</w:t>
            </w:r>
          </w:p>
        </w:tc>
        <w:tc>
          <w:tcPr>
            <w:tcW w:type="dxa" w:w="2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JH institutional network</w:t>
            </w:r>
          </w:p>
        </w:tc>
      </w:tr>
      <w:tr>
        <w:tc>
          <w:tcPr>
            <w:tcW w:type="dxa" w:w="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P3</w:t>
            </w:r>
          </w:p>
        </w:tc>
        <w:tc>
          <w:tcPr>
            <w:tcW w:type="dxa" w:w="18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SGA RE Head</w:t>
            </w:r>
          </w:p>
        </w:tc>
        <w:tc>
          <w:tcPr>
            <w:tcW w:type="dxa" w:w="2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Societe Generale Assurances</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Co-shareholder; investment approval</w:t>
            </w:r>
          </w:p>
        </w:tc>
        <w:tc>
          <w:tcPr>
            <w:tcW w:type="dxa" w:w="2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Research required</w:t>
            </w:r>
          </w:p>
        </w:tc>
      </w:tr>
    </w:tbl>
    <w:p>
      <w:r>
        <w:rPr>
          <w:rFonts w:ascii="Arial" w:cs="Arial" w:eastAsia="Arial" w:hAnsi="Arial"/>
          <w:sz w:val="20"/>
          <w:szCs w:val="20"/>
        </w:rPr>
        <w:t xml:space="preserve"/>
      </w:r>
    </w:p>
    <w:p>
      <w:pPr>
        <w:ind w:left="720"/>
      </w:pPr>
      <w:r>
        <w:rPr>
          <w:rFonts w:ascii="Arial" w:cs="Arial" w:eastAsia="Arial" w:hAnsi="Arial"/>
          <w:sz w:val="20"/>
          <w:szCs w:val="20"/>
        </w:rPr>
        <w:t xml:space="preserve">"Jonathan Hillyer, Grand Canal Capital Partners — We have been following Praemia Healthcare since the Primonial/Icade transaction and are impressed by the portfolio quality. GCCP has a mandate from an insurance-backed institutional lender to originate 20-30yr fixed-rate senior secured facilities for leading European healthcare PropCos. A similar GBP 210m Ground Debt facility was recently closed on a UK care home portfolio. We believe a larger structure is available for Praemia Healthcare and would welcome 30 minutes to explore."</w:t>
      </w:r>
    </w:p>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8. Decision Timeline &amp; Critical Path</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200"/>
        <w:gridCol w:w="3500"/>
        <w:gridCol w:w="2926"/>
      </w:tblGrid>
      <w:tr>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Date</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Status</w:t>
            </w:r>
          </w:p>
        </w:tc>
        <w:tc>
          <w:tcPr>
            <w:tcW w:type="dxa" w:w="3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Event / Milestone</w:t>
            </w:r>
          </w:p>
        </w:tc>
        <w:tc>
          <w:tcPr>
            <w:tcW w:type="dxa" w:w="29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GCCP / SONG Action</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Apr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Critical</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Confirm Praemia Healthcare CFO / Finance Director</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French network + LinkedIn search</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Apr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Critical</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Identify warm path via JH Alderan/Primonial channel</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to activate French SPI contacts</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May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Key Milestone</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Initial meeting with Praemia Healthcare finance team</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JH + AS attend; present SONG capability</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Jun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Secondary</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Confirm lease indexation (ILAT vs fixed uplift)</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Praemia documentation review</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Q3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Target</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mandate signed; asset pool selected (30-40 assets)</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GCCP structures; SONG DD begins</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Q3-Q4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Execution</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Legal opinion on bail emphyteotique / ILAT restructuring</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French counsel (Gide / Mayer Brown Paris)</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Q4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Key Milestone</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Heads of Terms signed</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8 weeks to exchange</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Q1 2027</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Hard Deadline</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Exchange and completion target</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Fee receipt: EUR 4.0-7.0m</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9. Risk Register</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000"/>
        <w:gridCol w:w="3000"/>
        <w:gridCol w:w="3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Risk</w:t>
            </w:r>
          </w:p>
        </w:tc>
        <w:tc>
          <w:tcPr>
            <w:tcW w:type="dxa" w:w="1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Level</w:t>
            </w:r>
          </w:p>
        </w:tc>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Description</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Mitigant / GCCP Response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Lease Indexation (ILAT)</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ILAT (inflation-linked) is standard in French healthcare leases. Must restructure to fixed uplifts at origination.</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Structuring point, not deal-breaker. Comparable to Carrefour ILAT discussion. 4-6 weeks legal work.</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Existing Bank Refinancing</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Praemia may already be refinancing with bank syndicate (SG/BNP relationship).</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20yr product is materially different from 5-10yr bank term. Both can co-exist.</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Freehold Count Unknown</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Freehold asset count not confirmed — limits Ground Debt sizing.</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If Ground Debt limited, default to Senior Secured Term Loan. Still GO NOW.</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SGA/Primonial Bank Preference</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Low</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Institutional shareholders may prefer bank relationships.</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product is unique (20-55yr). No bank can match tenor. Not competing.</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ARS Regulatory Change</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Low</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Healthcare regulation could affect tenant operations.</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ARS is structural French policy. Not expected to materially change.</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10. Fee Projection</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1100"/>
        <w:gridCol w:w="1400"/>
        <w:gridCol w:w="1526"/>
      </w:tblGrid>
      <w:tr>
        <w:tc>
          <w:tcPr>
            <w:tcW w:type="dxa" w:w="2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Opportunity</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Facility Size</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GCCP Fee at 1%</w:t>
            </w:r>
          </w:p>
        </w:tc>
        <w:tc>
          <w:tcPr>
            <w:tcW w:type="dxa" w:w="11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Probability</w:t>
            </w:r>
          </w:p>
        </w:tc>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Risk-Adjusted Fee</w:t>
            </w:r>
          </w:p>
        </w:tc>
        <w:tc>
          <w:tcPr>
            <w:tcW w:type="dxa" w:w="1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Close</w:t>
            </w:r>
          </w:p>
        </w:tc>
      </w:tr>
      <w:tr>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Primary: Senior Term Loan</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400m</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4.0m</w:t>
            </w:r>
          </w:p>
        </w:tc>
        <w:tc>
          <w:tcPr>
            <w:tcW w:type="dxa" w:w="11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40%</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1.6m</w:t>
            </w:r>
          </w:p>
        </w:tc>
        <w:tc>
          <w:tcPr>
            <w:tcW w:type="dxa" w:w="1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Q1 2027</w:t>
            </w:r>
          </w:p>
        </w:tc>
      </w:tr>
      <w:tr>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Upside: Large portfolio facility</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600m</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6.0m</w:t>
            </w:r>
          </w:p>
        </w:tc>
        <w:tc>
          <w:tcPr>
            <w:tcW w:type="dxa" w:w="11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25%</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1.5m</w:t>
            </w:r>
          </w:p>
        </w:tc>
        <w:tc>
          <w:tcPr>
            <w:tcW w:type="dxa" w:w="1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Q1 2027</w:t>
            </w:r>
          </w:p>
        </w:tc>
      </w:tr>
      <w:tr>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Alternative: Ground Debt</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250m</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2.5m</w:t>
            </w:r>
          </w:p>
        </w:tc>
        <w:tc>
          <w:tcPr>
            <w:tcW w:type="dxa" w:w="11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20%</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0.5m</w:t>
            </w:r>
          </w:p>
        </w:tc>
        <w:tc>
          <w:tcPr>
            <w:tcW w:type="dxa" w:w="1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Q2 2027</w:t>
            </w:r>
          </w:p>
        </w:tc>
      </w:tr>
      <w:tr>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Maximum: Combined TL + GD</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600-700m</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6.0-7.0m</w:t>
            </w:r>
          </w:p>
        </w:tc>
        <w:tc>
          <w:tcPr>
            <w:tcW w:type="dxa" w:w="11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0.9-1.1m</w:t>
            </w:r>
          </w:p>
        </w:tc>
        <w:tc>
          <w:tcPr>
            <w:tcW w:type="dxa" w:w="1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Q2 2027</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11. GCCP Recommendation &amp; Immediate Actions</w:t>
            </w:r>
          </w:p>
        </w:tc>
      </w:tr>
    </w:tbl>
    <w:p>
      <w:r>
        <w:rPr>
          <w:rFonts w:ascii="Arial" w:cs="Arial" w:eastAsia="Arial" w:hAnsi="Arial"/>
          <w:sz w:val="20"/>
          <w:szCs w:val="20"/>
        </w:rPr>
        <w:t xml:space="preserve"/>
      </w:r>
    </w:p>
    <w:p>
      <w:r>
        <w:rPr>
          <w:rFonts w:ascii="Arial" w:cs="Arial" w:eastAsia="Arial" w:hAnsi="Arial"/>
          <w:b/>
          <w:bCs/>
          <w:color w:val="1C2237"/>
          <w:sz w:val="20"/>
          <w:szCs w:val="20"/>
        </w:rPr>
        <w:t xml:space="preserve">GCCP recommends immediate advancement of Praemia Healthcare as a GO NOW SONG Capital debt origination opportunity. This is the largest dedicated healthcare PropCo in continental Europe, rated BBB+ by S&amp;P, with 159 ARS-licensed assets at 100% occupancy. The Hamberley/Patron GBP 210m precedent confirms SONG appetite for healthcare freehold Ground Debt — Praemia Healthcare is the same structure at 14x scale. No BPA insurer has originated a French healthcare PropCo facility at 20yr+ fixed rate, giving GCCP/SONG genuine first-mover advantage.</w:t>
      </w:r>
    </w:p>
    <w:p>
      <w:r>
        <w:rPr>
          <w:rFonts w:ascii="Arial" w:cs="Arial" w:eastAsia="Arial" w:hAnsi="Arial"/>
          <w:sz w:val="20"/>
          <w:szCs w:val="20"/>
        </w:rPr>
        <w:t xml:space="preserve"/>
      </w:r>
    </w:p>
    <w:p>
      <w:r>
        <w:rPr>
          <w:rFonts w:ascii="Arial" w:cs="Arial" w:eastAsia="Arial" w:hAnsi="Arial"/>
          <w:b/>
          <w:bCs/>
          <w:sz w:val="20"/>
          <w:szCs w:val="20"/>
        </w:rPr>
        <w:t xml:space="preserve">Recommended SONG facility: EUR 400-700m Senior Secured Term Loan (20yr fixed) OR EUR 200-400m Ground Debt (30-55yr, fixed uplifts) | Fee: EUR 4.0-7.0m</w:t>
      </w:r>
    </w:p>
    <w:p>
      <w:r>
        <w:rPr>
          <w:rFonts w:ascii="Arial" w:cs="Arial" w:eastAsia="Arial" w:hAnsi="Arial"/>
          <w:sz w:val="20"/>
          <w:szCs w:val="20"/>
        </w:rPr>
        <w:t xml:space="preserve"/>
      </w:r>
    </w:p>
    <w:p>
      <w:r>
        <w:rPr>
          <w:rFonts w:ascii="Arial" w:cs="Arial" w:eastAsia="Arial" w:hAnsi="Arial"/>
          <w:sz w:val="20"/>
          <w:szCs w:val="20"/>
        </w:rPr>
        <w:t xml:space="preserve">1. Confirm Praemia Healthcare CFO / Finance Director name — JH / LinkedIn search — Week 1</w:t>
      </w:r>
    </w:p>
    <w:p>
      <w:r>
        <w:rPr>
          <w:rFonts w:ascii="Arial" w:cs="Arial" w:eastAsia="Arial" w:hAnsi="Arial"/>
          <w:sz w:val="20"/>
          <w:szCs w:val="20"/>
        </w:rPr>
        <w:t xml:space="preserve">2. Identify warm path via JH French SPI/institutional network (Alderan/Primonial channel) — JH — Week 1</w:t>
      </w:r>
    </w:p>
    <w:p>
      <w:r>
        <w:rPr>
          <w:rFonts w:ascii="Arial" w:cs="Arial" w:eastAsia="Arial" w:hAnsi="Arial"/>
          <w:sz w:val="20"/>
          <w:szCs w:val="20"/>
        </w:rPr>
        <w:t xml:space="preserve">3. Obtain Praemia Healthcare 2025 annual report / investor presentation — Research — Week 1</w:t>
      </w:r>
    </w:p>
    <w:p>
      <w:r>
        <w:rPr>
          <w:rFonts w:ascii="Arial" w:cs="Arial" w:eastAsia="Arial" w:hAnsi="Arial"/>
          <w:sz w:val="20"/>
          <w:szCs w:val="20"/>
        </w:rPr>
        <w:t xml:space="preserve">4. Confirm lease indexation: ILAT or fixed uplift — JH / Praemia documentation — Week 2</w:t>
      </w:r>
    </w:p>
    <w:p>
      <w:r>
        <w:rPr>
          <w:rFonts w:ascii="Arial" w:cs="Arial" w:eastAsia="Arial" w:hAnsi="Arial"/>
          <w:sz w:val="20"/>
          <w:szCs w:val="20"/>
        </w:rPr>
        <w:t xml:space="preserve">5. Commission bail emphyteotique legal opinion (French law) — GCCP / Gide / Mayer Brown Paris — Month 1</w:t>
      </w:r>
    </w:p>
    <w:p>
      <w:r>
        <w:rPr>
          <w:rFonts w:ascii="Arial" w:cs="Arial" w:eastAsia="Arial" w:hAnsi="Arial"/>
          <w:sz w:val="20"/>
          <w:szCs w:val="20"/>
        </w:rPr>
        <w:t xml:space="preserve"/>
      </w:r>
    </w:p>
    <w:p>
      <w:r>
        <w:rPr>
          <w:rFonts w:ascii="Arial" w:cs="Arial" w:eastAsia="Arial" w:hAnsi="Arial"/>
          <w:sz w:val="20"/>
          <w:szCs w:val="20"/>
        </w:rPr>
        <w:t xml:space="preserve">Reference precedent: Hamberley/Patron (GBP 210m, Ground Debt, 11 UK care homes, 2026) AND Eclairion (EUR 563m, 10yr, 295bps, GCCP-introduced) confirm SONG appetite for healthcare real estate and European assets at this scale.</w:t>
      </w:r>
    </w:p>
    <w:p>
      <w:r>
        <w:rPr>
          <w:rFonts w:ascii="Arial" w:cs="Arial" w:eastAsia="Arial" w:hAnsi="Arial"/>
          <w:sz w:val="20"/>
          <w:szCs w:val="20"/>
        </w:rPr>
        <w:t xml:space="preserve"/>
      </w:r>
    </w:p>
    <w:p>
      <w:r>
        <w:rPr>
          <w:rFonts w:ascii="Arial" w:cs="Arial" w:eastAsia="Arial" w:hAnsi="Arial"/>
          <w:sz w:val="20"/>
          <w:szCs w:val="20"/>
        </w:rPr>
        <w:t xml:space="preserve"/>
      </w:r>
    </w:p>
    <w:p>
      <w:r>
        <w:rPr>
          <w:rFonts w:ascii="Arial" w:cs="Arial" w:eastAsia="Arial" w:hAnsi="Arial"/>
          <w:b w:val="false"/>
          <w:bCs w:val="false"/>
          <w:sz w:val="20"/>
          <w:szCs w:val="20"/>
        </w:rPr>
        <w:t xml:space="preserve">[AI-DRAFT] — Generated by GCCP AI systems. Requires partner review before external distribution.</w:t>
      </w:r>
    </w:p>
    <w:p>
      <w:r>
        <w:rPr>
          <w:rFonts w:ascii="Arial" w:cs="Arial" w:eastAsia="Arial" w:hAnsi="Arial"/>
          <w:sz w:val="20"/>
          <w:szCs w:val="20"/>
        </w:rPr>
        <w:t xml:space="preserve"/>
      </w:r>
    </w:p>
    <w:p>
      <w:r>
        <w:rPr>
          <w:rFonts w:ascii="Arial" w:cs="Arial" w:eastAsia="Arial" w:hAnsi="Arial"/>
          <w:b/>
          <w:bCs/>
          <w:sz w:val="20"/>
          <w:szCs w:val="20"/>
        </w:rPr>
        <w:t xml:space="preserve">Sources:</w:t>
      </w:r>
    </w:p>
    <w:p>
      <w:r>
        <w:rPr>
          <w:rFonts w:ascii="Arial" w:cs="Arial" w:eastAsia="Arial" w:hAnsi="Arial"/>
          <w:b w:val="false"/>
          <w:bCs w:val="false"/>
          <w:sz w:val="20"/>
          <w:szCs w:val="20"/>
        </w:rPr>
        <w:t xml:space="preserve">Praemia Healthcare corporate information — Praemia REIM website, 2024-2025</w:t>
      </w:r>
    </w:p>
    <w:p>
      <w:r>
        <w:rPr>
          <w:rFonts w:ascii="Arial" w:cs="Arial" w:eastAsia="Arial" w:hAnsi="Arial"/>
          <w:b w:val="false"/>
          <w:bCs w:val="false"/>
          <w:sz w:val="20"/>
          <w:szCs w:val="20"/>
        </w:rPr>
        <w:t xml:space="preserve">S&amp;P BBB+ rating — S&amp;P Global Ratings, 2024</w:t>
      </w:r>
    </w:p>
    <w:p>
      <w:r>
        <w:rPr>
          <w:rFonts w:ascii="Arial" w:cs="Arial" w:eastAsia="Arial" w:hAnsi="Arial"/>
          <w:b w:val="false"/>
          <w:bCs w:val="false"/>
          <w:sz w:val="20"/>
          <w:szCs w:val="20"/>
        </w:rPr>
        <w:t xml:space="preserve">Hamberley/Patron GBP 210m Ground Debt — SONG Capital reference transaction, 2026</w:t>
      </w:r>
    </w:p>
    <w:p>
      <w:r>
        <w:rPr>
          <w:rFonts w:ascii="Arial" w:cs="Arial" w:eastAsia="Arial" w:hAnsi="Arial"/>
          <w:b w:val="false"/>
          <w:bCs w:val="false"/>
          <w:sz w:val="20"/>
          <w:szCs w:val="20"/>
        </w:rPr>
        <w:t xml:space="preserve">GCCP France Master Index v10, 26 March 2026</w:t>
      </w:r>
    </w:p>
    <w:p>
      <w:r>
        <w:rPr>
          <w:rFonts w:ascii="Arial" w:cs="Arial" w:eastAsia="Arial" w:hAnsi="Arial"/>
          <w:b w:val="false"/>
          <w:bCs w:val="false"/>
          <w:sz w:val="20"/>
          <w:szCs w:val="20"/>
        </w:rPr>
        <w:t xml:space="preserve">GCCP Meeting Debrief — Segat/Yannick, 31 March 2026</w:t>
      </w:r>
    </w:p>
    <w:p>
      <w:r>
        <w:rPr>
          <w:rFonts w:ascii="Arial" w:cs="Arial" w:eastAsia="Arial" w:hAnsi="Arial"/>
          <w:sz w:val="20"/>
          <w:szCs w:val="20"/>
        </w:rPr>
        <w:t xml:space="preserve"/>
      </w:r>
    </w:p>
    <w:p>
      <w:pPr>
        <w:jc w:val="center"/>
      </w:pPr>
      <w:r>
        <w:rPr>
          <w:rFonts w:ascii="Arial" w:cs="Arial" w:eastAsia="Arial" w:hAnsi="Arial"/>
          <w:color w:val="4A4F5C"/>
          <w:sz w:val="16"/>
          <w:szCs w:val="16"/>
        </w:rPr>
        <w:t xml:space="preserve">This document is prepared by Grand Canal Capital Partners for internal use only. Not for distribution. Confidential.</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6000"/>
      <w:gridCol w:w="4026"/>
    </w:tblGrid>
    <w:tr>
      <w:tc>
        <w:tcPr>
          <w:tcBorders>
            <w:top w:val="single" w:color="1C2237" w:sz="6"/>
            <w:left w:val="none" w:color="FFFFFF" w:sz="0"/>
            <w:bottom w:val="none" w:color="FFFFFF" w:sz="0"/>
            <w:right w:val="none" w:color="FFFFFF" w:sz="0"/>
          </w:tcBorders>
        </w:tcPr>
        <w:p>
          <w:r>
            <w:rPr>
              <w:rFonts w:ascii="Arial" w:cs="Arial" w:eastAsia="Arial" w:hAnsi="Arial"/>
              <w:color w:val="4A4F5C"/>
              <w:sz w:val="16"/>
              <w:szCs w:val="16"/>
            </w:rPr>
            <w:t xml:space="preserve">Grand Canal Capital Partners | Strictly Confidential</w:t>
          </w:r>
        </w:p>
      </w:tc>
      <w:tc>
        <w:tcPr>
          <w:tcBorders>
            <w:top w:val="single" w:color="1C2237" w:sz="6"/>
            <w:left w:val="none" w:color="FFFFFF" w:sz="0"/>
            <w:bottom w:val="none" w:color="FFFFFF" w:sz="0"/>
            <w:right w:val="none" w:color="FFFFFF" w:sz="0"/>
          </w:tcBorders>
        </w:tcPr>
        <w:p>
          <w:pPr>
            <w:jc w:val="right"/>
          </w:pPr>
          <w:r>
            <w:rPr>
              <w:rFonts w:ascii="Arial" w:cs="Arial" w:eastAsia="Arial" w:hAnsi="Arial"/>
              <w:color w:val="4A4F5C"/>
              <w:sz w:val="16"/>
              <w:szCs w:val="16"/>
            </w:rPr>
            <w:t xml:space="preserve">Page </w:t>
          </w:r>
          <w:r>
            <w:rPr>
              <w:rFonts w:ascii="Arial" w:cs="Arial" w:eastAsia="Arial" w:hAnsi="Arial"/>
              <w:color w:val="4A4F5C"/>
              <w:sz w:val="16"/>
              <w:szCs w:val="16"/>
            </w:rPr>
            <w:fldChar w:fldCharType="begin"/>
            <w:instrText xml:space="preserve">PAGE</w:instrText>
            <w:fldChar w:fldCharType="separate"/>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6000"/>
      <w:gridCol w:w="4026"/>
    </w:tblGrid>
    <w:tr>
      <w:tc>
        <w:tcPr>
          <w:tcBorders>
            <w:top w:val="none" w:color="FFFFFF" w:sz="0"/>
            <w:left w:val="none" w:color="FFFFFF" w:sz="0"/>
            <w:bottom w:val="single" w:color="1C2237" w:sz="6"/>
            <w:right w:val="none" w:color="FFFFFF" w:sz="0"/>
          </w:tcBorders>
        </w:tcPr>
        <w:p>
          <w:r>
            <w:rPr>
              <w:rFonts w:ascii="Arial" w:cs="Arial" w:eastAsia="Arial" w:hAnsi="Arial"/>
              <w:b/>
              <w:bCs/>
              <w:color w:val="1C2237"/>
              <w:sz w:val="16"/>
              <w:szCs w:val="16"/>
            </w:rPr>
            <w:t xml:space="preserve">GRAND CANAL CAPITAL PARTNERS</w:t>
          </w:r>
        </w:p>
      </w:tc>
      <w:tc>
        <w:tcPr>
          <w:tcBorders>
            <w:top w:val="none" w:color="FFFFFF" w:sz="0"/>
            <w:left w:val="none" w:color="FFFFFF" w:sz="0"/>
            <w:bottom w:val="single" w:color="1C2237" w:sz="6"/>
            <w:right w:val="none" w:color="FFFFFF" w:sz="0"/>
          </w:tcBorders>
        </w:tcPr>
        <w:p>
          <w:pPr>
            <w:jc w:val="right"/>
          </w:pPr>
          <w:r>
            <w:rPr>
              <w:rFonts w:ascii="Arial" w:cs="Arial" w:eastAsia="Arial" w:hAnsi="Arial"/>
              <w:color w:val="4A4F5C"/>
              <w:sz w:val="16"/>
              <w:szCs w:val="16"/>
            </w:rPr>
            <w:t xml:space="preserve">FR-HRE01 | v1 | 02Apr2026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c028e78f433f314109cb2e72d0ad4b944b4fa50e.jp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2026-04-02T18:12:20.635Z</dcterms:created>
  <dcterms:modified xsi:type="dcterms:W3CDTF">2026-04-02T18:12:20.635Z</dcterms:modified>
</cp:coreProperties>
</file>

<file path=docProps/custom.xml><?xml version="1.0" encoding="utf-8"?>
<Properties xmlns="http://schemas.openxmlformats.org/officeDocument/2006/custom-properties" xmlns:vt="http://schemas.openxmlformats.org/officeDocument/2006/docPropsVTypes"/>
</file>